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PE - Section Title"/>
      </w:pPr>
      <w:r>
        <w:rPr>
          <w:outline w:val="0"/>
          <w:color w:val="cb00ba"/>
          <w:u w:color="cb00ba"/>
          <w14:textFill>
            <w14:solidFill>
              <w14:srgbClr w14:val="CB00BA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1793239</wp:posOffset>
            </wp:positionH>
            <wp:positionV relativeFrom="page">
              <wp:posOffset>38734</wp:posOffset>
            </wp:positionV>
            <wp:extent cx="3973830" cy="136588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logo with text on itDescription automatically generated" descr="A logo with text on i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1365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M Sans" w:cs="DM Sans" w:hAnsi="DM Sans" w:eastAsia="DM Sans"/>
          <w:outline w:val="0"/>
          <w:color w:val="0072ce"/>
          <w:sz w:val="32"/>
          <w:szCs w:val="32"/>
          <w:u w:color="0072ce"/>
          <w14:textFill>
            <w14:solidFill>
              <w14:srgbClr w14:val="0072CE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1809750</wp:posOffset>
                </wp:positionV>
                <wp:extent cx="7575550" cy="361950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361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ind w:right="998"/>
                              <w:jc w:val="center"/>
                            </w:pPr>
                            <w:r>
                              <w:rPr>
                                <w:rFonts w:ascii="DM Sans" w:cs="DM Sans" w:hAnsi="DM Sans" w:eastAsia="DM Sans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Weekly Newsletter </w:t>
                            </w:r>
                            <w:r>
                              <w:rPr>
                                <w:rFonts w:ascii="DM Sans" w:cs="DM Sans" w:hAnsi="DM Sans" w:eastAsia="DM Sans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rFonts w:ascii="DM Sans" w:cs="DM Sans" w:hAnsi="DM Sans" w:eastAsia="DM Sans"/>
                                <w:b w:val="1"/>
                                <w:bCs w:val="1"/>
                                <w:outline w:val="0"/>
                                <w:color w:val="ffffff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w/c 1 April 2024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42.5pt;width:596.5pt;height:28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72C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ind w:right="998"/>
                        <w:jc w:val="center"/>
                      </w:pPr>
                      <w:r>
                        <w:rPr>
                          <w:rFonts w:ascii="DM Sans" w:cs="DM Sans" w:hAnsi="DM Sans" w:eastAsia="DM Sans"/>
                          <w:b w:val="1"/>
                          <w:bCs w:val="1"/>
                          <w:outline w:val="0"/>
                          <w:color w:val="ffffff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Weekly Newsletter </w:t>
                      </w:r>
                      <w:r>
                        <w:rPr>
                          <w:rFonts w:ascii="DM Sans" w:cs="DM Sans" w:hAnsi="DM Sans" w:eastAsia="DM Sans"/>
                          <w:b w:val="1"/>
                          <w:bCs w:val="1"/>
                          <w:outline w:val="0"/>
                          <w:color w:val="ffffff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DM Sans" w:cs="DM Sans" w:hAnsi="DM Sans" w:eastAsia="DM Sans"/>
                          <w:b w:val="1"/>
                          <w:bCs w:val="1"/>
                          <w:outline w:val="0"/>
                          <w:color w:val="ffffff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w/c 1 April 2024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CPE - Section Heading"/>
        <w:jc w:val="center"/>
        <w:rPr>
          <w:rFonts w:ascii="DM Sans" w:cs="DM Sans" w:hAnsi="DM Sans" w:eastAsia="DM Sans"/>
        </w:rPr>
      </w:pPr>
      <w:r>
        <w:rPr>
          <w:rFonts w:ascii="DM Sans" w:cs="DM Sans" w:hAnsi="DM Sans" w:eastAsia="DM Sans"/>
          <w:rtl w:val="0"/>
          <w:lang w:val="en-US"/>
        </w:rPr>
        <w:t>National Updates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"https://cpe.org.uk/our-news/nhs-prescription-charge-of-9-65-to-roll-over-into-april/"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NHS prescription charge of </w:t>
      </w:r>
      <w:r>
        <w:rPr>
          <w:rStyle w:val="Hyperlink.0"/>
          <w:rtl w:val="0"/>
          <w:lang w:val="en-US"/>
        </w:rPr>
        <w:t>£</w:t>
      </w:r>
      <w:r>
        <w:rPr>
          <w:rStyle w:val="Hyperlink.0"/>
          <w:rtl w:val="0"/>
          <w:lang w:val="en-US"/>
        </w:rPr>
        <w:t>9.65 to roll over into April.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 Department of Health and Social Care (DHSC) is currently unable to confirm whether the NHS prescription charges will be uplifted in 2024.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ff6d3a"/>
          <w:sz w:val="22"/>
          <w:szCs w:val="22"/>
          <w:u w:color="ff6d3a"/>
          <w:shd w:val="clear" w:color="auto" w:fill="ffffff"/>
          <w14:textFill>
            <w14:solidFill>
              <w14:srgbClr w14:val="FF6D3A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"https://cpe.org.uk/our-news/nhs-prescription-charge-of-9-65-to-roll-over-into-april/"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Pharmacy technicians to be given greater powers to supply and administer medicines.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The Department of Health and Social Care (DHSC) has announced plans to update legislation which will enable registered pharmacy technicians to supply and administer medicines under a patient group direction (PGD). 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"https://cpe.org.uk/our-news/extended-fp34c-submission-deadline-for-prescriptions-dispensed-in-march-2024/"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Extended FP34C submission deadline for prescriptions dispensed in March 2024.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With Easter Monday (1 April 2024) occurring in the first five days of the FP34C submission window, pharmacy owners will have an extra day, until the end of </w:t>
      </w:r>
      <w:r>
        <w:rPr>
          <w:rFonts w:ascii="DM Sans" w:cs="DM Sans" w:hAnsi="DM Sans" w:eastAsia="DM Sans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6 April 2024</w:t>
      </w: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to submit their March FP34Cs using the MYS portal and to dispatch their prescription bundle to the relevant pricing division NHSBSA.</w:t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"https://cpe.org.uk/our-news/community-pharmacy-contractual-framework-negotiations-for-2024-25/"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Community Pharmacy Contractual Framework: Negotiations for 2024/25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 start of April 2024 marks the end of the five-year Contractual Framework arrangement which was agreed in the summer of 2019.</w:t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Negotiations on the arrangements for the coming financial year, 2024/25, are still in progress between CPE, DHSC and NHS England.</w:t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Until these negotiations have concluded, fee levels will remain the same and existing service arrangements will continue as previously announced.</w:t>
      </w:r>
    </w:p>
    <w:p>
      <w:pPr>
        <w:pStyle w:val="Body Text"/>
        <w:pBdr>
          <w:top w:val="nil"/>
          <w:left w:val="nil"/>
          <w:bottom w:val="single" w:color="0072ce" w:sz="18" w:space="0" w:shadow="0" w:frame="0"/>
          <w:right w:val="nil"/>
        </w:pBdr>
        <w:rPr>
          <w:rStyle w:val="eop"/>
          <w:b w:val="1"/>
          <w:bCs w:val="1"/>
        </w:rPr>
      </w:pPr>
    </w:p>
    <w:p>
      <w:pPr>
        <w:pStyle w:val="CPE - Section Heading"/>
        <w:jc w:val="center"/>
        <w:rPr>
          <w:rFonts w:ascii="DM Sans" w:cs="DM Sans" w:hAnsi="DM Sans" w:eastAsia="DM Sans"/>
        </w:rPr>
      </w:pPr>
      <w:r>
        <w:rPr>
          <w:rFonts w:ascii="DM Sans" w:cs="DM Sans" w:hAnsi="DM Sans" w:eastAsia="DM Sans"/>
          <w:rtl w:val="0"/>
          <w:lang w:val="en-US"/>
        </w:rPr>
        <w:t>Local News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"https://blmk-n.communitypharmacy.org.uk/wp-content/uploads/sites/102/2024/03/pharmacyfirst190224.pdf"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For Luton &amp; Bedfordshire only </w:t>
      </w:r>
      <w:r>
        <w:rPr>
          <w:rStyle w:val="Hyperlink.0"/>
          <w:rtl w:val="0"/>
          <w:lang w:val="en-US"/>
        </w:rPr>
        <w:t xml:space="preserve">– </w:t>
      </w:r>
      <w:r>
        <w:rPr>
          <w:rStyle w:val="Hyperlink.0"/>
          <w:rtl w:val="0"/>
          <w:lang w:val="en-US"/>
        </w:rPr>
        <w:t>From HUC re NHS 111 and Pharmacy First.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This line is accessed by calling 111 and selecting option 3, whereby they will arrange for a healthcare professional to callback. Where appropriate, pharmacists should utilise the healthcare professional line rather than advising patients to call 111 </w:t>
      </w: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this will ensure the patients issue is dealt with as efficiently as possible.</w:t>
      </w:r>
    </w:p>
    <w:p>
      <w:pPr>
        <w:pStyle w:val="Body Text"/>
        <w:pBdr>
          <w:top w:val="nil"/>
          <w:left w:val="nil"/>
          <w:bottom w:val="single" w:color="0072ce" w:sz="18" w:space="0" w:shadow="0" w:frame="0"/>
          <w:right w:val="nil"/>
        </w:pBdr>
        <w:rPr>
          <w:rStyle w:val="eop"/>
          <w:b w:val="1"/>
          <w:bCs w:val="1"/>
        </w:rPr>
      </w:pPr>
    </w:p>
    <w:p>
      <w:pPr>
        <w:pStyle w:val="CPE - Section Heading"/>
        <w:jc w:val="center"/>
        <w:rPr>
          <w:rFonts w:ascii="DM Sans" w:cs="DM Sans" w:hAnsi="DM Sans" w:eastAsia="DM Sans"/>
        </w:rPr>
      </w:pPr>
      <w:r>
        <w:rPr>
          <w:rFonts w:ascii="DM Sans" w:cs="DM Sans" w:hAnsi="DM Sans" w:eastAsia="DM Sans"/>
          <w:rtl w:val="0"/>
          <w:lang w:val="en-US"/>
        </w:rPr>
        <w:t>Training &amp; Events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"https://blmk-n.communitypharmacy.org.uk/our-events/pharmacy-first-training-day-northants/"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Pharmacy First Training Day </w:t>
      </w:r>
      <w:r>
        <w:rPr>
          <w:rStyle w:val="Hyperlink.0"/>
          <w:rtl w:val="0"/>
          <w:lang w:val="en-US"/>
        </w:rPr>
        <w:t xml:space="preserve">– </w:t>
      </w:r>
      <w:r>
        <w:rPr>
          <w:rStyle w:val="Hyperlink.0"/>
          <w:rtl w:val="0"/>
          <w:lang w:val="en-US"/>
        </w:rPr>
        <w:t>Northants.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Pharmacists regularly working in Northamptonshire are now invited by Northamptonshire ICB and the LPC to attend Pharmacy First training. Details of date, times and location can be found on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"https://blmk-n.communitypharmacy.org.uk/our-events/pharmacy-first-training-day-northants/"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BLMK-N-LPC website</w:t>
      </w:r>
      <w:r>
        <w:rPr/>
        <w:fldChar w:fldCharType="end" w:fldLock="0"/>
      </w: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pBdr>
          <w:top w:val="nil"/>
          <w:left w:val="nil"/>
          <w:bottom w:val="single" w:color="0072ce" w:sz="18" w:space="0" w:shadow="0" w:frame="0"/>
          <w:right w:val="nil"/>
        </w:pBdr>
        <w:rPr>
          <w:rStyle w:val="eop"/>
          <w:b w:val="1"/>
          <w:bCs w:val="1"/>
        </w:rPr>
      </w:pPr>
    </w:p>
    <w:p>
      <w:pPr>
        <w:pStyle w:val="CPE - Section Heading"/>
        <w:jc w:val="center"/>
        <w:rPr>
          <w:rFonts w:ascii="DM Sans" w:cs="DM Sans" w:hAnsi="DM Sans" w:eastAsia="DM Sans"/>
        </w:rPr>
      </w:pPr>
      <w:r>
        <w:rPr>
          <w:rFonts w:ascii="DM Sans" w:cs="DM Sans" w:hAnsi="DM Sans" w:eastAsia="DM Sans"/>
          <w:rtl w:val="0"/>
          <w:lang w:val="en-US"/>
        </w:rPr>
        <w:t>Reminders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"https://cpe.org.uk/our-news/reminder-new-eligible-patient-groups-for-lfd-service-start-from-1st-april/"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New eligible patient groups for LFD service start from 1 April 2024.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Community Pharmacy owners are reminded that the lateral flow device tests supply service for patients potentially eligible for COVID -19 treatments (LFD service) will expand to additional patient groups from </w:t>
      </w:r>
      <w:r>
        <w:rPr>
          <w:rFonts w:ascii="DM Sans" w:cs="DM Sans" w:hAnsi="DM Sans" w:eastAsia="DM Sans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1 April 2024</w:t>
      </w:r>
      <w:r>
        <w:rPr>
          <w:rFonts w:ascii="DM Sans" w:cs="DM Sans" w:hAnsi="DM Sans" w:eastAsia="DM Sans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</w:p>
    <w:p>
      <w:pPr>
        <w:pStyle w:val="Body Text"/>
        <w:pBdr>
          <w:top w:val="nil"/>
          <w:left w:val="nil"/>
          <w:bottom w:val="single" w:color="0072ce" w:sz="18" w:space="0" w:shadow="0" w:frame="0"/>
          <w:right w:val="nil"/>
        </w:pBdr>
        <w:rPr>
          <w:rStyle w:val="eop"/>
          <w:b w:val="1"/>
          <w:bCs w:val="1"/>
        </w:rPr>
      </w:pPr>
    </w:p>
    <w:p>
      <w:pPr>
        <w:pStyle w:val="CPE - Section Heading"/>
        <w:jc w:val="center"/>
        <w:rPr>
          <w:rFonts w:ascii="DM Sans" w:cs="DM Sans" w:hAnsi="DM Sans" w:eastAsia="DM Sans"/>
        </w:rPr>
      </w:pPr>
      <w:r>
        <w:rPr>
          <w:rFonts w:ascii="DM Sans" w:cs="DM Sans" w:hAnsi="DM Sans" w:eastAsia="DM Sans"/>
          <w:rtl w:val="0"/>
          <w:lang w:val="en-US"/>
        </w:rPr>
        <w:t>Medicines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:rtl w:val="0"/>
          <w:lang w:val="en-US"/>
          <w14:textFill>
            <w14:solidFill>
              <w14:srgbClr w14:val="0072CE"/>
            </w14:solidFill>
          </w14:textFill>
        </w:rPr>
        <w:t>General: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"https://cpe.org.uk/our-news/mhra-drug-safety-update-march-2024/"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MHRA Drug Safety Update March 2024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.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"https://cpe.org.uk/our-news/march-2024-price-concessions-3rd-update/"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March 2024 Price Concessions 3</w:t>
      </w:r>
      <w:r>
        <w:rPr>
          <w:rStyle w:val="Link"/>
          <w:rFonts w:ascii="DM Sans" w:cs="DM Sans" w:hAnsi="DM Sans" w:eastAsia="DM Sans"/>
          <w:b w:val="1"/>
          <w:bCs w:val="1"/>
          <w:sz w:val="22"/>
          <w:szCs w:val="22"/>
          <w:shd w:val="clear" w:color="auto" w:fill="ffffff"/>
          <w:vertAlign w:val="superscript"/>
          <w:rtl w:val="0"/>
          <w:lang w:val="en-US"/>
        </w:rPr>
        <w:t>rd</w:t>
      </w:r>
      <w:r>
        <w:rPr>
          <w:rStyle w:val="Hyperlink.0"/>
          <w:rtl w:val="0"/>
          <w:lang w:val="en-US"/>
        </w:rPr>
        <w:t xml:space="preserve"> and Final Update.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"https://cpe.org.uk/our-news/government-imposes-drug-tariff-changes-to-manage-margin/"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Government imposes Drug Tariff changes to manage margin.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"https://cpe.org.uk/our-news/newly-launched-freestyle-libre-2-plus-sensors-enter-the-drug-tariff-and-dnd-list-from-april-2024/"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Newly launched FreeStyle Libre 2 Plus Sensors enter the Drug Tariff and DND list from April 2024.</w:t>
      </w:r>
      <w:r>
        <w:rPr/>
        <w:fldChar w:fldCharType="end" w:fldLock="0"/>
      </w:r>
    </w:p>
    <w:p>
      <w:pPr>
        <w:pStyle w:val="CPE - Section Heading"/>
        <w:spacing w:after="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"https://cpe.org.uk/our-news/rybelsus-tablets-re-classified-as-a-special-container/"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Rybelsus tablets re-classified as a special container.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"https://cpe.org.uk/our-news/medicines-not-covered-by-the-hrt-ppc/"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Medicines not covered by the HRT PPC.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:rtl w:val="0"/>
          <w:lang w:val="en-US"/>
          <w14:textFill>
            <w14:solidFill>
              <w14:srgbClr w14:val="0072CE"/>
            </w14:solidFill>
          </w14:textFill>
        </w:rPr>
        <w:t>Medicines Supply Notifications:</w:t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"https://cpe.org.uk/our-news/medicine-supply-notification-diazepam-10mg-2-5ml-rectal-solution-tubes-2/"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Diazepam 10mg/2.5ml rectal solution tubes.</w:t>
      </w:r>
      <w:r>
        <w:rPr/>
        <w:fldChar w:fldCharType="end" w:fldLock="0"/>
      </w:r>
    </w:p>
    <w:p>
      <w:pPr>
        <w:pStyle w:val="CPE - Section Heading"/>
        <w:spacing w:after="0"/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14:textFill>
            <w14:solidFill>
              <w14:srgbClr w14:val="0072C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"https://cpe.org.uk/our-news/medicine-supply-notification-guanfacine-intuniv-2mg-and-3mg-modified-release-tablets/"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Guanfacine (Intuniv) 2mg and 3mg modified </w:t>
      </w:r>
      <w:r>
        <w:rPr>
          <w:rStyle w:val="Hyperlink.0"/>
          <w:rtl w:val="0"/>
          <w:lang w:val="en-US"/>
        </w:rPr>
        <w:t xml:space="preserve">– </w:t>
      </w:r>
      <w:r>
        <w:rPr>
          <w:rStyle w:val="Hyperlink.0"/>
          <w:rtl w:val="0"/>
          <w:lang w:val="en-US"/>
        </w:rPr>
        <w:t>release tablets.</w:t>
      </w:r>
      <w:r>
        <w:rPr/>
        <w:fldChar w:fldCharType="end" w:fldLock="0"/>
      </w:r>
      <w:r>
        <w:rPr>
          <w:rFonts w:ascii="DM Sans" w:cs="DM Sans" w:hAnsi="DM Sans" w:eastAsia="DM Sans"/>
          <w:b w:val="1"/>
          <w:bCs w:val="1"/>
          <w:outline w:val="0"/>
          <w:color w:val="0072ce"/>
          <w:sz w:val="22"/>
          <w:szCs w:val="22"/>
          <w:u w:color="0072ce"/>
          <w:shd w:val="clear" w:color="auto" w:fill="ffffff"/>
          <w:rtl w:val="0"/>
          <w:lang w:val="en-US"/>
          <w14:textFill>
            <w14:solidFill>
              <w14:srgbClr w14:val="0072CE"/>
            </w14:solidFill>
          </w14:textFill>
        </w:rPr>
        <w:t xml:space="preserve"> </w:t>
      </w:r>
    </w:p>
    <w:p>
      <w:pPr>
        <w:pStyle w:val="Body Text"/>
        <w:rPr>
          <w:outline w:val="0"/>
          <w:color w:val="ff6d3a"/>
          <w:u w:color="ff6d3a"/>
          <w14:textFill>
            <w14:solidFill>
              <w14:srgbClr w14:val="FF6D3A"/>
            </w14:solidFill>
          </w14:textFill>
        </w:rPr>
      </w:pPr>
    </w:p>
    <w:p>
      <w:pPr>
        <w:pStyle w:val="CPE - Section Heading"/>
        <w:spacing w:after="0"/>
      </w:pPr>
      <w:r>
        <w:rPr>
          <w:outline w:val="0"/>
          <w:color w:val="ff6d3a"/>
          <w:u w:color="ff6d3a"/>
          <w14:textFill>
            <w14:solidFill>
              <w14:srgbClr w14:val="FF6D3A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line">
                  <wp:posOffset>290830</wp:posOffset>
                </wp:positionV>
                <wp:extent cx="7575550" cy="317500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3175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jc w:val="center"/>
                            </w:pPr>
                            <w:r>
                              <w:rPr>
                                <w:rFonts w:ascii="DM Sans" w:cs="DM Sans" w:hAnsi="DM Sans" w:eastAsia="DM Sans"/>
                                <w:b w:val="1"/>
                                <w:bCs w:val="1"/>
                                <w:outline w:val="0"/>
                                <w:color w:val="ffffff"/>
                                <w:spacing w:val="-1"/>
                                <w:u w:color="ffffff"/>
                                <w:rtl w:val="0"/>
                                <w:lang w:val="en-US"/>
                                <w14:shadow w14:sx="100000" w14:sy="100000" w14:kx="0" w14:ky="0" w14:algn="tl" w14:blurRad="0" w14:dist="1905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Email:</w:t>
                            </w:r>
                            <w:r>
                              <w:rPr>
                                <w:rStyle w:val="Link"/>
                                <w:rFonts w:ascii="DM Sans" w:cs="DM Sans" w:hAnsi="DM Sans" w:eastAsia="DM Sans"/>
                                <w:b w:val="1"/>
                                <w:bCs w:val="1"/>
                                <w:outline w:val="0"/>
                                <w:color w:val="ffffff"/>
                                <w:spacing w:val="-1"/>
                                <w:u w:color="ffffff"/>
                                <w:rtl w:val="0"/>
                                <w:lang w:val="en-US"/>
                                <w14:shadow w14:sx="100000" w14:sy="100000" w14:kx="0" w14:ky="0" w14:algn="tl" w14:blurRad="0" w14:dist="1905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office@blmk-n-communitypharmacy.org.uk</w:t>
                            </w:r>
                            <w:r>
                              <w:rPr>
                                <w:rFonts w:ascii="DM Sans" w:cs="DM Sans" w:hAnsi="DM Sans" w:eastAsia="DM Sans"/>
                                <w:b w:val="1"/>
                                <w:bCs w:val="1"/>
                                <w:outline w:val="0"/>
                                <w:color w:val="ffffff"/>
                                <w:spacing w:val="-1"/>
                                <w:u w:color="ffffff"/>
                                <w14:shadow w14:sx="100000" w14:sy="100000" w14:kx="0" w14:ky="0" w14:algn="tl" w14:blurRad="0" w14:dist="19050" w14:dir="13500000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0pt;margin-top:22.9pt;width:596.5pt;height:2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72C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jc w:val="center"/>
                      </w:pPr>
                      <w:r>
                        <w:rPr>
                          <w:rFonts w:ascii="DM Sans" w:cs="DM Sans" w:hAnsi="DM Sans" w:eastAsia="DM Sans"/>
                          <w:b w:val="1"/>
                          <w:bCs w:val="1"/>
                          <w:outline w:val="0"/>
                          <w:color w:val="ffffff"/>
                          <w:spacing w:val="-1"/>
                          <w:u w:color="ffffff"/>
                          <w:rtl w:val="0"/>
                          <w:lang w:val="en-US"/>
                          <w14:shadow w14:sx="100000" w14:sy="100000" w14:kx="0" w14:ky="0" w14:algn="tl" w14:blurRad="0" w14:dist="19050" w14:dir="13500000">
                            <w14:srgbClr w14:val="000000">
                              <w14:alpha w14:val="50000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Email:</w:t>
                      </w:r>
                      <w:r>
                        <w:rPr>
                          <w:rStyle w:val="Link"/>
                          <w:rFonts w:ascii="DM Sans" w:cs="DM Sans" w:hAnsi="DM Sans" w:eastAsia="DM Sans"/>
                          <w:b w:val="1"/>
                          <w:bCs w:val="1"/>
                          <w:outline w:val="0"/>
                          <w:color w:val="ffffff"/>
                          <w:spacing w:val="-1"/>
                          <w:u w:color="ffffff"/>
                          <w:rtl w:val="0"/>
                          <w:lang w:val="en-US"/>
                          <w14:shadow w14:sx="100000" w14:sy="100000" w14:kx="0" w14:ky="0" w14:algn="tl" w14:blurRad="0" w14:dist="19050" w14:dir="13500000">
                            <w14:srgbClr w14:val="000000">
                              <w14:alpha w14:val="50000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office@blmk-n-communitypharmacy.org.uk</w:t>
                      </w:r>
                      <w:r>
                        <w:rPr>
                          <w:rFonts w:ascii="DM Sans" w:cs="DM Sans" w:hAnsi="DM Sans" w:eastAsia="DM Sans"/>
                          <w:b w:val="1"/>
                          <w:bCs w:val="1"/>
                          <w:outline w:val="0"/>
                          <w:color w:val="ffffff"/>
                          <w:spacing w:val="-1"/>
                          <w:u w:color="ffffff"/>
                          <w14:shadow w14:sx="100000" w14:sy="100000" w14:kx="0" w14:ky="0" w14:algn="tl" w14:blurRad="0" w14:dist="19050" w14:dir="13500000">
                            <w14:srgbClr w14:val="000000">
                              <w14:alpha w14:val="50000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DM Sans" w:cs="DM Sans" w:hAnsi="DM Sans" w:eastAsia="DM Sans"/>
          <w:b w:val="1"/>
          <w:bCs w:val="1"/>
          <w:sz w:val="26"/>
          <w:szCs w:val="26"/>
          <w:shd w:val="clear" w:color="auto" w:fill="ffffff"/>
          <w:rtl w:val="0"/>
          <w:lang w:val="en-US"/>
        </w:rPr>
        <w:t>Titl</w:t>
      </w:r>
      <w:r>
        <w:rPr>
          <w:outline w:val="0"/>
          <w:color w:val="0072ce"/>
          <w:sz w:val="32"/>
          <w:szCs w:val="32"/>
          <w:u w:color="0072ce"/>
          <w:rtl w:val="0"/>
          <w:lang w:val="en-US"/>
          <w14:textFill>
            <w14:solidFill>
              <w14:srgbClr w14:val="0072CE"/>
            </w14:solidFill>
          </w14:textFill>
        </w:rPr>
        <w:t>e</w:t>
      </w:r>
      <w:r>
        <w:rPr>
          <w:b w:val="1"/>
          <w:bCs w:val="1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021" w:right="1021" w:bottom="1021" w:left="1021" w:header="567" w:footer="567"/>
      <w:pgNumType w:start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M San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7933"/>
        <w:tab w:val="clear" w:pos="9026"/>
      </w:tabs>
    </w:pPr>
    <w:r>
      <w:rPr>
        <w:rStyle w:val="eop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120" w:after="160" w:line="336" w:lineRule="auto"/>
      <w:ind w:left="0" w:right="0" w:firstLine="0"/>
      <w:jc w:val="left"/>
      <w:outlineLvl w:val="9"/>
    </w:pPr>
    <w:rPr>
      <w:rFonts w:ascii="DM Sans" w:cs="DM Sans" w:hAnsi="DM Sans" w:eastAsia="DM Sans"/>
      <w:b w:val="0"/>
      <w:bCs w:val="0"/>
      <w:i w:val="0"/>
      <w:iCs w:val="0"/>
      <w:caps w:val="0"/>
      <w:smallCaps w:val="0"/>
      <w:strike w:val="0"/>
      <w:dstrike w:val="0"/>
      <w:outline w:val="0"/>
      <w:color w:val="0072ce"/>
      <w:spacing w:val="0"/>
      <w:kern w:val="0"/>
      <w:position w:val="0"/>
      <w:sz w:val="22"/>
      <w:szCs w:val="22"/>
      <w:u w:val="none" w:color="0072ce"/>
      <w:shd w:val="nil" w:color="auto" w:fill="auto"/>
      <w:vertAlign w:val="baseline"/>
      <w:lang w:val="en-US"/>
      <w14:textFill>
        <w14:solidFill>
          <w14:srgbClr w14:val="0072CE"/>
        </w14:solidFill>
      </w14:textFill>
    </w:rPr>
  </w:style>
  <w:style w:type="character" w:styleId="eop">
    <w:name w:val="eop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PE - Section Title">
    <w:name w:val="CPE - Section Title"/>
    <w:next w:val="CPE - Section 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0" w:after="800" w:line="264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72ce"/>
      <w:spacing w:val="0"/>
      <w:kern w:val="0"/>
      <w:position w:val="0"/>
      <w:sz w:val="72"/>
      <w:szCs w:val="72"/>
      <w:u w:val="none" w:color="0072ce"/>
      <w:shd w:val="nil" w:color="auto" w:fill="auto"/>
      <w:vertAlign w:val="baseline"/>
      <w:lang w:val="en-US"/>
      <w14:textFill>
        <w14:solidFill>
          <w14:srgbClr w14:val="0072CE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70" w:line="336" w:lineRule="auto"/>
      <w:ind w:left="0" w:right="0" w:firstLine="0"/>
      <w:jc w:val="left"/>
      <w:outlineLvl w:val="9"/>
    </w:pPr>
    <w:rPr>
      <w:rFonts w:ascii="DM Sans" w:cs="DM Sans" w:hAnsi="DM Sans" w:eastAsia="DM Sans"/>
      <w:b w:val="0"/>
      <w:bCs w:val="0"/>
      <w:i w:val="0"/>
      <w:iCs w:val="0"/>
      <w:caps w:val="0"/>
      <w:smallCaps w:val="0"/>
      <w:strike w:val="0"/>
      <w:dstrike w:val="0"/>
      <w:outline w:val="0"/>
      <w:color w:val="0072ce"/>
      <w:spacing w:val="0"/>
      <w:kern w:val="0"/>
      <w:position w:val="0"/>
      <w:sz w:val="22"/>
      <w:szCs w:val="22"/>
      <w:u w:val="none" w:color="0072ce"/>
      <w:shd w:val="nil" w:color="auto" w:fill="auto"/>
      <w:vertAlign w:val="baseline"/>
      <w:lang w:val="en-US"/>
      <w14:textFill>
        <w14:solidFill>
          <w14:srgbClr w14:val="0072CE"/>
        </w14:solidFill>
      </w14:textFill>
    </w:rPr>
  </w:style>
  <w:style w:type="paragraph" w:styleId="CPE - Section Heading">
    <w:name w:val="CPE - Section Heading"/>
    <w:next w:val="CPE - Section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0" w:after="300" w:line="264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72ce"/>
      <w:spacing w:val="0"/>
      <w:kern w:val="0"/>
      <w:position w:val="0"/>
      <w:sz w:val="44"/>
      <w:szCs w:val="44"/>
      <w:u w:val="none" w:color="0072ce"/>
      <w:shd w:val="nil" w:color="auto" w:fill="auto"/>
      <w:vertAlign w:val="baseline"/>
      <w:lang w:val="en-US"/>
      <w14:textFill>
        <w14:solidFill>
          <w14:srgbClr w14:val="0072CE"/>
        </w14:solidFill>
      </w14:textFill>
    </w:rPr>
  </w:style>
  <w:style w:type="character" w:styleId="Link">
    <w:name w:val="Link"/>
    <w:rPr>
      <w:outline w:val="0"/>
      <w:color w:val="ff6d3a"/>
      <w:u w:val="single" w:color="ff6d3a"/>
      <w14:textFill>
        <w14:solidFill>
          <w14:srgbClr w14:val="FF6D3A"/>
        </w14:solidFill>
      </w14:textFill>
    </w:rPr>
  </w:style>
  <w:style w:type="character" w:styleId="Hyperlink.0">
    <w:name w:val="Hyperlink.0"/>
    <w:basedOn w:val="Link"/>
    <w:next w:val="Hyperlink.0"/>
    <w:rPr>
      <w:rFonts w:ascii="DM Sans" w:cs="DM Sans" w:hAnsi="DM Sans" w:eastAsia="DM Sans"/>
      <w:b w:val="1"/>
      <w:bCs w:val="1"/>
      <w:sz w:val="22"/>
      <w:szCs w:val="22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8F8F8F"/>
      </a:accent5>
      <a:accent6>
        <a:srgbClr val="707070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8D1BA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chemeClr val="accent4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chemeClr val="accent4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