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32" w:rsidRDefault="00513E32" w:rsidP="00513E3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13E32" w:rsidRDefault="00513E32" w:rsidP="00513E3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Standard Operating Procedure</w:t>
      </w:r>
    </w:p>
    <w:p w:rsidR="0087574F" w:rsidRDefault="0087574F" w:rsidP="00513E3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13E32" w:rsidRPr="0064696F" w:rsidRDefault="00513E32" w:rsidP="00513E32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607103">
        <w:rPr>
          <w:rFonts w:ascii="Arial" w:hAnsi="Arial" w:cs="Arial"/>
          <w:b/>
          <w:sz w:val="28"/>
          <w:szCs w:val="28"/>
          <w:u w:val="single"/>
        </w:rPr>
        <w:t>Title:</w:t>
      </w:r>
      <w:r w:rsidRPr="0064696F">
        <w:rPr>
          <w:rFonts w:ascii="Arial" w:hAnsi="Arial" w:cs="Arial"/>
          <w:b/>
          <w:i/>
          <w:sz w:val="28"/>
          <w:szCs w:val="28"/>
          <w:u w:val="single"/>
        </w:rPr>
        <w:t xml:space="preserve">  </w:t>
      </w:r>
      <w:proofErr w:type="spellStart"/>
      <w:r w:rsidR="00E1664B">
        <w:rPr>
          <w:rFonts w:ascii="Arial" w:hAnsi="Arial" w:cs="Arial"/>
          <w:b/>
          <w:sz w:val="28"/>
          <w:szCs w:val="28"/>
          <w:u w:val="single"/>
        </w:rPr>
        <w:t>Solifenacin</w:t>
      </w:r>
      <w:proofErr w:type="spellEnd"/>
      <w:r w:rsidR="00E1664B">
        <w:rPr>
          <w:rFonts w:ascii="Arial" w:hAnsi="Arial" w:cs="Arial"/>
          <w:b/>
          <w:sz w:val="28"/>
          <w:szCs w:val="28"/>
          <w:u w:val="single"/>
        </w:rPr>
        <w:t xml:space="preserve">, </w:t>
      </w:r>
      <w:proofErr w:type="spellStart"/>
      <w:r w:rsidR="00E1664B">
        <w:rPr>
          <w:rFonts w:ascii="Arial" w:hAnsi="Arial" w:cs="Arial"/>
          <w:b/>
          <w:sz w:val="28"/>
          <w:szCs w:val="28"/>
          <w:u w:val="single"/>
        </w:rPr>
        <w:t>Trospium</w:t>
      </w:r>
      <w:proofErr w:type="spellEnd"/>
      <w:r w:rsidR="00E1664B">
        <w:rPr>
          <w:rFonts w:ascii="Arial" w:hAnsi="Arial" w:cs="Arial"/>
          <w:b/>
          <w:sz w:val="28"/>
          <w:szCs w:val="28"/>
          <w:u w:val="single"/>
        </w:rPr>
        <w:t xml:space="preserve">, </w:t>
      </w:r>
      <w:proofErr w:type="spellStart"/>
      <w:r w:rsidR="00E1664B">
        <w:rPr>
          <w:rFonts w:ascii="Arial" w:hAnsi="Arial" w:cs="Arial"/>
          <w:b/>
          <w:sz w:val="28"/>
          <w:szCs w:val="28"/>
          <w:u w:val="single"/>
        </w:rPr>
        <w:t>Fesoterodine</w:t>
      </w:r>
      <w:proofErr w:type="spellEnd"/>
      <w:r w:rsidR="00201F54">
        <w:rPr>
          <w:rFonts w:ascii="Arial" w:hAnsi="Arial" w:cs="Arial"/>
          <w:b/>
          <w:sz w:val="28"/>
          <w:szCs w:val="28"/>
          <w:u w:val="single"/>
        </w:rPr>
        <w:t xml:space="preserve">, </w:t>
      </w:r>
      <w:proofErr w:type="spellStart"/>
      <w:r w:rsidR="00201F54">
        <w:rPr>
          <w:rFonts w:ascii="Arial" w:hAnsi="Arial" w:cs="Arial"/>
          <w:b/>
          <w:sz w:val="28"/>
          <w:szCs w:val="28"/>
          <w:u w:val="single"/>
        </w:rPr>
        <w:t>Propiverine</w:t>
      </w:r>
      <w:proofErr w:type="spellEnd"/>
      <w:r w:rsidR="00E1664B">
        <w:rPr>
          <w:rFonts w:ascii="Arial" w:hAnsi="Arial" w:cs="Arial"/>
          <w:b/>
          <w:sz w:val="28"/>
          <w:szCs w:val="28"/>
          <w:u w:val="single"/>
        </w:rPr>
        <w:t xml:space="preserve">, Oxybutynin MR, </w:t>
      </w:r>
      <w:proofErr w:type="spellStart"/>
      <w:r w:rsidR="00E1664B">
        <w:rPr>
          <w:rFonts w:ascii="Arial" w:hAnsi="Arial" w:cs="Arial"/>
          <w:b/>
          <w:sz w:val="28"/>
          <w:szCs w:val="28"/>
          <w:u w:val="single"/>
        </w:rPr>
        <w:t>Tolterodine</w:t>
      </w:r>
      <w:proofErr w:type="spellEnd"/>
      <w:r w:rsidR="00E1664B">
        <w:rPr>
          <w:rFonts w:ascii="Arial" w:hAnsi="Arial" w:cs="Arial"/>
          <w:b/>
          <w:sz w:val="28"/>
          <w:szCs w:val="28"/>
          <w:u w:val="single"/>
        </w:rPr>
        <w:t xml:space="preserve"> MR</w:t>
      </w:r>
      <w:r w:rsidR="00C75A4A">
        <w:rPr>
          <w:rFonts w:ascii="Arial" w:hAnsi="Arial" w:cs="Arial"/>
          <w:b/>
          <w:sz w:val="28"/>
          <w:szCs w:val="28"/>
          <w:u w:val="single"/>
        </w:rPr>
        <w:t xml:space="preserve">, </w:t>
      </w:r>
      <w:proofErr w:type="spellStart"/>
      <w:r w:rsidR="00C75A4A">
        <w:rPr>
          <w:rFonts w:ascii="Arial" w:hAnsi="Arial" w:cs="Arial"/>
          <w:b/>
          <w:sz w:val="28"/>
          <w:szCs w:val="28"/>
          <w:u w:val="single"/>
        </w:rPr>
        <w:t>Darifenacin</w:t>
      </w:r>
      <w:proofErr w:type="spellEnd"/>
      <w:r w:rsidR="00E1664B">
        <w:rPr>
          <w:rFonts w:ascii="Arial" w:hAnsi="Arial" w:cs="Arial"/>
          <w:b/>
          <w:sz w:val="28"/>
          <w:szCs w:val="28"/>
          <w:u w:val="single"/>
        </w:rPr>
        <w:t xml:space="preserve"> switch to immediate release </w:t>
      </w:r>
      <w:proofErr w:type="spellStart"/>
      <w:r w:rsidR="00E1664B">
        <w:rPr>
          <w:rFonts w:ascii="Arial" w:hAnsi="Arial" w:cs="Arial"/>
          <w:b/>
          <w:sz w:val="28"/>
          <w:szCs w:val="28"/>
          <w:u w:val="single"/>
        </w:rPr>
        <w:t>tolterodine</w:t>
      </w:r>
      <w:proofErr w:type="spellEnd"/>
      <w:r w:rsidR="00E1664B">
        <w:rPr>
          <w:rFonts w:ascii="Arial" w:hAnsi="Arial" w:cs="Arial"/>
          <w:b/>
          <w:sz w:val="28"/>
          <w:szCs w:val="28"/>
          <w:u w:val="single"/>
        </w:rPr>
        <w:t xml:space="preserve"> or </w:t>
      </w:r>
      <w:proofErr w:type="spellStart"/>
      <w:r w:rsidR="00E1664B">
        <w:rPr>
          <w:rFonts w:ascii="Arial" w:hAnsi="Arial" w:cs="Arial"/>
          <w:b/>
          <w:sz w:val="28"/>
          <w:szCs w:val="28"/>
          <w:u w:val="single"/>
        </w:rPr>
        <w:t>Neditol</w:t>
      </w:r>
      <w:proofErr w:type="spellEnd"/>
    </w:p>
    <w:p w:rsidR="00513E32" w:rsidRDefault="00513E32" w:rsidP="00513E3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13E32" w:rsidRPr="00431859" w:rsidTr="00F00C96">
        <w:trPr>
          <w:trHeight w:val="324"/>
        </w:trPr>
        <w:tc>
          <w:tcPr>
            <w:tcW w:w="8522" w:type="dxa"/>
          </w:tcPr>
          <w:p w:rsidR="00513E32" w:rsidRPr="00431859" w:rsidRDefault="00513E32" w:rsidP="00F00C96">
            <w:pPr>
              <w:rPr>
                <w:rFonts w:ascii="Arial" w:hAnsi="Arial" w:cs="Arial"/>
                <w:b/>
              </w:rPr>
            </w:pPr>
            <w:r w:rsidRPr="00431859">
              <w:rPr>
                <w:rFonts w:ascii="Arial" w:hAnsi="Arial" w:cs="Arial"/>
                <w:b/>
              </w:rPr>
              <w:t>PURPOSE</w:t>
            </w:r>
          </w:p>
        </w:tc>
      </w:tr>
      <w:tr w:rsidR="00513E32" w:rsidRPr="00826D10" w:rsidTr="00F00C96">
        <w:trPr>
          <w:trHeight w:val="1246"/>
        </w:trPr>
        <w:tc>
          <w:tcPr>
            <w:tcW w:w="8522" w:type="dxa"/>
          </w:tcPr>
          <w:p w:rsidR="00513E32" w:rsidRPr="00826D10" w:rsidRDefault="00513E32" w:rsidP="00F00C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 xml:space="preserve">To ensure that the above switch is carried out in those patients authorised by the Lead prescribing GP. </w:t>
            </w:r>
          </w:p>
          <w:p w:rsidR="00513E32" w:rsidRPr="00826D10" w:rsidRDefault="00513E32" w:rsidP="00F00C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>To ensure that the patient, practice staff, local pharmacies and GP Dispensaries are informed of the switch to enable them to reassure patients and to adjust their stock levels.</w:t>
            </w:r>
          </w:p>
          <w:p w:rsidR="00513E32" w:rsidRPr="00826D10" w:rsidRDefault="00513E32" w:rsidP="00F00C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>To ensure that patient confidentiality is respected throughout this procedure</w:t>
            </w:r>
            <w:r w:rsidR="00710CB9" w:rsidRPr="00826D1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10CB9" w:rsidRPr="00826D10" w:rsidRDefault="00710CB9" w:rsidP="00F00C9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826D10">
              <w:rPr>
                <w:rFonts w:ascii="Arial" w:hAnsi="Arial" w:cs="Arial"/>
                <w:bCs/>
                <w:sz w:val="22"/>
                <w:szCs w:val="22"/>
              </w:rPr>
              <w:t>To ensure any switches, performed by the pharmacy team, are done in a safe manner.</w:t>
            </w:r>
          </w:p>
        </w:tc>
      </w:tr>
    </w:tbl>
    <w:p w:rsidR="00513E32" w:rsidRPr="00826D10" w:rsidRDefault="00513E32" w:rsidP="003B08B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13E32" w:rsidRPr="00826D10" w:rsidTr="00F00C96">
        <w:trPr>
          <w:trHeight w:val="324"/>
        </w:trPr>
        <w:tc>
          <w:tcPr>
            <w:tcW w:w="8522" w:type="dxa"/>
          </w:tcPr>
          <w:p w:rsidR="00513E32" w:rsidRPr="00826D10" w:rsidRDefault="00710CB9" w:rsidP="00F00C96">
            <w:pPr>
              <w:rPr>
                <w:rFonts w:ascii="Arial" w:hAnsi="Arial" w:cs="Arial"/>
                <w:b/>
              </w:rPr>
            </w:pPr>
            <w:r w:rsidRPr="00826D10">
              <w:rPr>
                <w:rFonts w:ascii="Arial" w:hAnsi="Arial" w:cs="Arial"/>
                <w:b/>
              </w:rPr>
              <w:t>COMMUNICATION</w:t>
            </w:r>
            <w:r w:rsidR="00513E32" w:rsidRPr="00826D1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13E32" w:rsidRPr="00826D10" w:rsidTr="00F35A3A">
        <w:trPr>
          <w:trHeight w:val="896"/>
        </w:trPr>
        <w:tc>
          <w:tcPr>
            <w:tcW w:w="8522" w:type="dxa"/>
          </w:tcPr>
          <w:p w:rsidR="00513E32" w:rsidRPr="00826D10" w:rsidRDefault="00513E32" w:rsidP="00DF5DE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09" w:hanging="283"/>
              <w:rPr>
                <w:rFonts w:ascii="Arial" w:hAnsi="Arial" w:cs="Arial"/>
                <w:sz w:val="22"/>
                <w:szCs w:val="22"/>
              </w:rPr>
            </w:pPr>
            <w:r w:rsidRPr="005C37CA">
              <w:rPr>
                <w:rFonts w:ascii="Arial" w:hAnsi="Arial" w:cs="Arial"/>
                <w:sz w:val="22"/>
                <w:szCs w:val="22"/>
                <w:highlight w:val="yellow"/>
              </w:rPr>
              <w:t>Appropriate Practice staff, local Community Pharmacies and GP Dispensaries should be informed of the switch</w:t>
            </w:r>
            <w:r w:rsidR="00710CB9" w:rsidRPr="005C37CA">
              <w:rPr>
                <w:rFonts w:ascii="Arial" w:hAnsi="Arial" w:cs="Arial"/>
                <w:sz w:val="22"/>
                <w:szCs w:val="22"/>
                <w:highlight w:val="yellow"/>
              </w:rPr>
              <w:t>, by the prescribing team,</w:t>
            </w:r>
            <w:r w:rsidRPr="005C37CA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two weeks prior to the work being carried out to enable stock to be used up.</w:t>
            </w:r>
          </w:p>
        </w:tc>
      </w:tr>
    </w:tbl>
    <w:p w:rsidR="00513E32" w:rsidRPr="00826D10" w:rsidRDefault="00513E32" w:rsidP="00513E3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13E32" w:rsidRPr="00826D10" w:rsidTr="00F00C96">
        <w:trPr>
          <w:trHeight w:val="324"/>
        </w:trPr>
        <w:tc>
          <w:tcPr>
            <w:tcW w:w="8522" w:type="dxa"/>
          </w:tcPr>
          <w:p w:rsidR="00513E32" w:rsidRPr="00826D10" w:rsidRDefault="00513E32" w:rsidP="00F00C96">
            <w:pPr>
              <w:rPr>
                <w:rFonts w:ascii="Arial" w:hAnsi="Arial" w:cs="Arial"/>
                <w:b/>
              </w:rPr>
            </w:pPr>
            <w:r w:rsidRPr="00826D10">
              <w:rPr>
                <w:rFonts w:ascii="Arial" w:hAnsi="Arial" w:cs="Arial"/>
                <w:b/>
              </w:rPr>
              <w:t>RESPONSIBILITIES</w:t>
            </w:r>
          </w:p>
        </w:tc>
      </w:tr>
      <w:tr w:rsidR="00513E32" w:rsidRPr="00826D10" w:rsidTr="00F00C96">
        <w:trPr>
          <w:trHeight w:val="1246"/>
        </w:trPr>
        <w:tc>
          <w:tcPr>
            <w:tcW w:w="8522" w:type="dxa"/>
          </w:tcPr>
          <w:p w:rsidR="00513E32" w:rsidRPr="00826D10" w:rsidRDefault="00513E32" w:rsidP="00F00C9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>Clinical responsibility for the switch lies with the authorising GP.</w:t>
            </w:r>
          </w:p>
          <w:p w:rsidR="00513E32" w:rsidRPr="00826D10" w:rsidRDefault="00513E32" w:rsidP="00F00C9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>The prescribing team are responsible for identifying patients suitable to switch, for carrying out any authorised switches, informing everyone involved in the process of the changes and keeping appropriate records.</w:t>
            </w:r>
          </w:p>
        </w:tc>
        <w:bookmarkStart w:id="0" w:name="_GoBack"/>
        <w:bookmarkEnd w:id="0"/>
      </w:tr>
    </w:tbl>
    <w:p w:rsidR="00513E32" w:rsidRPr="00826D10" w:rsidRDefault="00513E32" w:rsidP="00513E3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13E32" w:rsidRPr="00826D10" w:rsidTr="00F00C96">
        <w:trPr>
          <w:trHeight w:val="324"/>
        </w:trPr>
        <w:tc>
          <w:tcPr>
            <w:tcW w:w="8522" w:type="dxa"/>
          </w:tcPr>
          <w:p w:rsidR="00513E32" w:rsidRPr="00826D10" w:rsidRDefault="00513E32" w:rsidP="00F00C96">
            <w:pPr>
              <w:rPr>
                <w:rFonts w:ascii="Arial" w:hAnsi="Arial" w:cs="Arial"/>
                <w:b/>
              </w:rPr>
            </w:pPr>
            <w:r w:rsidRPr="00826D10">
              <w:rPr>
                <w:rFonts w:ascii="Arial" w:hAnsi="Arial" w:cs="Arial"/>
                <w:b/>
              </w:rPr>
              <w:t>CLINICAL RATIONALE FOR SWITCH</w:t>
            </w:r>
          </w:p>
        </w:tc>
      </w:tr>
      <w:tr w:rsidR="00513E32" w:rsidRPr="00826D10" w:rsidTr="00F00C96">
        <w:trPr>
          <w:trHeight w:val="1246"/>
        </w:trPr>
        <w:tc>
          <w:tcPr>
            <w:tcW w:w="8522" w:type="dxa"/>
          </w:tcPr>
          <w:p w:rsidR="00871284" w:rsidRPr="001E020F" w:rsidRDefault="00513E32" w:rsidP="001E020F">
            <w:pPr>
              <w:pStyle w:val="ColorfulList-Accent11"/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 w:rsidRPr="00826D10">
              <w:rPr>
                <w:rFonts w:ascii="Arial" w:hAnsi="Arial" w:cs="Arial"/>
              </w:rPr>
              <w:t>Clinical Rationale:</w:t>
            </w:r>
            <w:r w:rsidR="00E1664B" w:rsidRPr="00826D10">
              <w:rPr>
                <w:rFonts w:ascii="Arial" w:hAnsi="Arial" w:cs="Arial"/>
              </w:rPr>
              <w:t xml:space="preserve"> </w:t>
            </w:r>
            <w:r w:rsidR="00E1664B" w:rsidRPr="00826D10">
              <w:rPr>
                <w:rFonts w:ascii="Arial" w:hAnsi="Arial" w:cs="Arial"/>
                <w:bCs/>
              </w:rPr>
              <w:t>NICE CG 171 [2] recommends o</w:t>
            </w:r>
            <w:r w:rsidR="00C75A4A">
              <w:rPr>
                <w:rFonts w:ascii="Arial" w:hAnsi="Arial" w:cs="Arial"/>
                <w:bCs/>
              </w:rPr>
              <w:t>xybuty</w:t>
            </w:r>
            <w:r w:rsidR="00E1664B" w:rsidRPr="00826D10">
              <w:rPr>
                <w:rFonts w:ascii="Arial" w:hAnsi="Arial" w:cs="Arial"/>
                <w:bCs/>
              </w:rPr>
              <w:t xml:space="preserve">nin (immediate release) or </w:t>
            </w:r>
            <w:proofErr w:type="spellStart"/>
            <w:r w:rsidR="00E1664B" w:rsidRPr="00826D10">
              <w:rPr>
                <w:rFonts w:ascii="Arial" w:hAnsi="Arial" w:cs="Arial"/>
                <w:bCs/>
              </w:rPr>
              <w:t>tolterodine</w:t>
            </w:r>
            <w:proofErr w:type="spellEnd"/>
            <w:r w:rsidR="00E1664B" w:rsidRPr="00826D10">
              <w:rPr>
                <w:rFonts w:ascii="Arial" w:hAnsi="Arial" w:cs="Arial"/>
                <w:bCs/>
              </w:rPr>
              <w:t xml:space="preserve"> (immediate release) or once daily </w:t>
            </w:r>
            <w:proofErr w:type="spellStart"/>
            <w:r w:rsidR="00E1664B" w:rsidRPr="00826D10">
              <w:rPr>
                <w:rFonts w:ascii="Arial" w:hAnsi="Arial" w:cs="Arial"/>
                <w:bCs/>
              </w:rPr>
              <w:t>darifenacin</w:t>
            </w:r>
            <w:proofErr w:type="spellEnd"/>
            <w:r w:rsidR="00E1664B" w:rsidRPr="00826D10">
              <w:rPr>
                <w:rFonts w:ascii="Arial" w:hAnsi="Arial" w:cs="Arial"/>
                <w:bCs/>
              </w:rPr>
              <w:t xml:space="preserve"> as 1</w:t>
            </w:r>
            <w:r w:rsidR="00E1664B" w:rsidRPr="00826D10">
              <w:rPr>
                <w:rFonts w:ascii="Arial" w:hAnsi="Arial" w:cs="Arial"/>
                <w:bCs/>
                <w:vertAlign w:val="superscript"/>
              </w:rPr>
              <w:t>st</w:t>
            </w:r>
            <w:r w:rsidR="00E1664B" w:rsidRPr="00826D10">
              <w:rPr>
                <w:rFonts w:ascii="Arial" w:hAnsi="Arial" w:cs="Arial"/>
                <w:bCs/>
              </w:rPr>
              <w:t xml:space="preserve"> line treatment options</w:t>
            </w:r>
            <w:r w:rsidR="000E1D0B" w:rsidRPr="00826D10">
              <w:rPr>
                <w:rFonts w:ascii="Arial" w:hAnsi="Arial" w:cs="Arial"/>
                <w:bCs/>
              </w:rPr>
              <w:t xml:space="preserve"> for Over Activ</w:t>
            </w:r>
            <w:r w:rsidR="00E1664B" w:rsidRPr="00826D10">
              <w:rPr>
                <w:rFonts w:ascii="Arial" w:hAnsi="Arial" w:cs="Arial"/>
                <w:bCs/>
              </w:rPr>
              <w:t>e Bladder and mixed</w:t>
            </w:r>
            <w:r w:rsidR="0032558C" w:rsidRPr="00826D10">
              <w:rPr>
                <w:rFonts w:ascii="Arial" w:hAnsi="Arial" w:cs="Arial"/>
                <w:bCs/>
              </w:rPr>
              <w:t xml:space="preserve"> urinary incontinence</w:t>
            </w:r>
            <w:r w:rsidR="00E1664B" w:rsidRPr="00826D10">
              <w:rPr>
                <w:rFonts w:ascii="Arial" w:hAnsi="Arial" w:cs="Arial"/>
                <w:bCs/>
              </w:rPr>
              <w:t xml:space="preserve"> when conservative measures such as lifestyle interventions, pelvic floor exercises and bladder training have been ineffective.  </w:t>
            </w:r>
          </w:p>
          <w:p w:rsidR="001E020F" w:rsidRPr="001E020F" w:rsidRDefault="00022452" w:rsidP="001E020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E020F">
              <w:rPr>
                <w:rFonts w:ascii="Arial" w:hAnsi="Arial" w:cs="Arial"/>
                <w:bCs/>
                <w:sz w:val="22"/>
                <w:szCs w:val="22"/>
              </w:rPr>
              <w:t>NICE concluded that there was a lack of evidence to show a difference in clinical effectiveness between OAB drugs: the relative cost effectiveness was determined mostly by the difference in cost. The probability of any drug being the most cost</w:t>
            </w:r>
            <w:r w:rsidR="00F769E3" w:rsidRPr="001E020F">
              <w:rPr>
                <w:rFonts w:ascii="Arial" w:hAnsi="Arial" w:cs="Arial"/>
                <w:bCs/>
                <w:sz w:val="22"/>
                <w:szCs w:val="22"/>
              </w:rPr>
              <w:t xml:space="preserve"> effective at £20,000 per QALY was highest for oxybutynin immediate release and </w:t>
            </w:r>
            <w:proofErr w:type="spellStart"/>
            <w:r w:rsidR="00F769E3" w:rsidRPr="001E020F">
              <w:rPr>
                <w:rFonts w:ascii="Arial" w:hAnsi="Arial" w:cs="Arial"/>
                <w:bCs/>
                <w:sz w:val="22"/>
                <w:szCs w:val="22"/>
              </w:rPr>
              <w:t>tolterodine</w:t>
            </w:r>
            <w:proofErr w:type="spellEnd"/>
            <w:r w:rsidR="00F769E3" w:rsidRPr="001E02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F769E3" w:rsidRPr="001E020F">
              <w:rPr>
                <w:rFonts w:ascii="Arial" w:hAnsi="Arial" w:cs="Arial"/>
                <w:bCs/>
                <w:sz w:val="22"/>
                <w:szCs w:val="22"/>
              </w:rPr>
              <w:t>immedidate</w:t>
            </w:r>
            <w:proofErr w:type="spellEnd"/>
            <w:r w:rsidR="00F769E3" w:rsidRPr="001E020F">
              <w:rPr>
                <w:rFonts w:ascii="Arial" w:hAnsi="Arial" w:cs="Arial"/>
                <w:bCs/>
                <w:sz w:val="22"/>
                <w:szCs w:val="22"/>
              </w:rPr>
              <w:t xml:space="preserve"> release. All other drugs had no more than a 5% chance of being cost effective at that threshold.</w:t>
            </w:r>
            <w:r w:rsidR="001E020F" w:rsidRPr="001E020F">
              <w:rPr>
                <w:rFonts w:ascii="Arial" w:hAnsi="Arial" w:cs="Arial"/>
                <w:sz w:val="22"/>
                <w:szCs w:val="22"/>
              </w:rPr>
              <w:t xml:space="preserve"> Oxybutynin has a higher chance of being discontinued due to side effects </w:t>
            </w:r>
            <w:proofErr w:type="gramStart"/>
            <w:r w:rsidR="001E020F" w:rsidRPr="001E020F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1E020F">
              <w:rPr>
                <w:rFonts w:ascii="Arial" w:hAnsi="Arial" w:cs="Arial"/>
                <w:sz w:val="22"/>
                <w:szCs w:val="22"/>
              </w:rPr>
              <w:t xml:space="preserve"> NICE</w:t>
            </w:r>
            <w:proofErr w:type="gramEnd"/>
            <w:r w:rsidR="001E020F">
              <w:rPr>
                <w:rFonts w:ascii="Arial" w:hAnsi="Arial" w:cs="Arial"/>
                <w:sz w:val="22"/>
                <w:szCs w:val="22"/>
              </w:rPr>
              <w:t xml:space="preserve"> advises that e</w:t>
            </w:r>
            <w:r w:rsidR="001E020F" w:rsidRPr="001E020F">
              <w:rPr>
                <w:rFonts w:ascii="Arial" w:hAnsi="Arial" w:cs="Arial"/>
                <w:sz w:val="22"/>
                <w:szCs w:val="22"/>
              </w:rPr>
              <w:t>lderly or frail patients should not be offered immediate release oxybutynin.</w:t>
            </w:r>
          </w:p>
          <w:p w:rsidR="001E020F" w:rsidRDefault="001E020F" w:rsidP="001E020F">
            <w:pPr>
              <w:pStyle w:val="ColorfulList-Accent11"/>
              <w:ind w:left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871284" w:rsidRDefault="00F769E3" w:rsidP="001E020F">
            <w:pPr>
              <w:pStyle w:val="ColorfulList-Accent11"/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 w:rsidRPr="00826D10">
              <w:rPr>
                <w:rFonts w:ascii="Arial" w:hAnsi="Arial" w:cs="Arial"/>
                <w:bCs/>
              </w:rPr>
              <w:lastRenderedPageBreak/>
              <w:t>NICE advises that if the first treatment for OAB or mixed UI is not effective or well tolerated, another drug with the lowest acquisition cost should be offered.</w:t>
            </w:r>
            <w:r w:rsidR="001E020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1E020F">
              <w:rPr>
                <w:rFonts w:ascii="Arial" w:hAnsi="Arial" w:cs="Arial"/>
                <w:bCs/>
              </w:rPr>
              <w:t>Tolterodine</w:t>
            </w:r>
            <w:proofErr w:type="spellEnd"/>
            <w:r w:rsidR="001E020F">
              <w:rPr>
                <w:rFonts w:ascii="Arial" w:hAnsi="Arial" w:cs="Arial"/>
                <w:bCs/>
              </w:rPr>
              <w:t xml:space="preserve"> immediate release has the lowest acquisition cost apart from low dose oxybutynin. </w:t>
            </w:r>
            <w:r w:rsidR="001E020F" w:rsidRPr="00C75A4A">
              <w:rPr>
                <w:rFonts w:ascii="Arial" w:hAnsi="Arial" w:cs="Arial"/>
                <w:b/>
              </w:rPr>
              <w:t xml:space="preserve">Therefore it was decided that </w:t>
            </w:r>
            <w:proofErr w:type="spellStart"/>
            <w:r w:rsidR="001E020F" w:rsidRPr="00C75A4A">
              <w:rPr>
                <w:rFonts w:ascii="Arial" w:hAnsi="Arial" w:cs="Arial"/>
                <w:b/>
              </w:rPr>
              <w:t>tolterodine</w:t>
            </w:r>
            <w:proofErr w:type="spellEnd"/>
            <w:r w:rsidR="001E020F" w:rsidRPr="00C75A4A">
              <w:rPr>
                <w:rFonts w:ascii="Arial" w:hAnsi="Arial" w:cs="Arial"/>
                <w:b/>
              </w:rPr>
              <w:t xml:space="preserve"> should be the </w:t>
            </w:r>
            <w:r w:rsidR="007F0E54">
              <w:rPr>
                <w:rFonts w:ascii="Arial" w:hAnsi="Arial" w:cs="Arial"/>
                <w:b/>
              </w:rPr>
              <w:t>2</w:t>
            </w:r>
            <w:r w:rsidR="007F0E54" w:rsidRPr="00205A58">
              <w:rPr>
                <w:rFonts w:ascii="Arial" w:hAnsi="Arial" w:cs="Arial"/>
                <w:b/>
                <w:vertAlign w:val="superscript"/>
              </w:rPr>
              <w:t>nd</w:t>
            </w:r>
            <w:r w:rsidR="007F0E54">
              <w:rPr>
                <w:rFonts w:ascii="Arial" w:hAnsi="Arial" w:cs="Arial"/>
                <w:b/>
              </w:rPr>
              <w:t xml:space="preserve"> line </w:t>
            </w:r>
            <w:r w:rsidR="001E020F" w:rsidRPr="00C75A4A">
              <w:rPr>
                <w:rFonts w:ascii="Arial" w:hAnsi="Arial" w:cs="Arial"/>
                <w:b/>
              </w:rPr>
              <w:t>drug of choice in the Northamptonshire.</w:t>
            </w:r>
          </w:p>
          <w:p w:rsidR="00F769E3" w:rsidRPr="00826D10" w:rsidRDefault="00F769E3" w:rsidP="00871284">
            <w:pPr>
              <w:pStyle w:val="ColorfulList-Accent11"/>
              <w:rPr>
                <w:rFonts w:ascii="Arial" w:hAnsi="Arial" w:cs="Arial"/>
                <w:bCs/>
              </w:rPr>
            </w:pPr>
            <w:r w:rsidRPr="00826D10">
              <w:rPr>
                <w:rFonts w:ascii="Arial" w:hAnsi="Arial" w:cs="Arial"/>
                <w:bCs/>
              </w:rPr>
              <w:t xml:space="preserve">  </w:t>
            </w:r>
          </w:p>
          <w:p w:rsidR="007F0E54" w:rsidRPr="007F0E54" w:rsidRDefault="00205A58" w:rsidP="00205A58">
            <w:pPr>
              <w:pStyle w:val="ColorfulList-Accent11"/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 w:rsidRPr="00205A58">
              <w:rPr>
                <w:rFonts w:ascii="Arial" w:hAnsi="Arial" w:cs="Arial"/>
                <w:bCs/>
              </w:rPr>
              <w:t xml:space="preserve">NICE did not consider branded generics e.g. </w:t>
            </w:r>
            <w:proofErr w:type="spellStart"/>
            <w:r w:rsidRPr="00205A58">
              <w:rPr>
                <w:rFonts w:ascii="Arial" w:hAnsi="Arial" w:cs="Arial"/>
                <w:bCs/>
              </w:rPr>
              <w:t>Neditol</w:t>
            </w:r>
            <w:proofErr w:type="spellEnd"/>
            <w:r w:rsidRPr="00205A58">
              <w:rPr>
                <w:rFonts w:ascii="Arial" w:hAnsi="Arial" w:cs="Arial"/>
                <w:bCs/>
              </w:rPr>
              <w:t xml:space="preserve"> within its cost appraisal analysis.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7F0E54" w:rsidRPr="007F0E54">
              <w:rPr>
                <w:rFonts w:ascii="Arial" w:hAnsi="Arial" w:cs="Arial"/>
                <w:bCs/>
              </w:rPr>
              <w:t>It has been decided in Northamptonshire that</w:t>
            </w:r>
            <w:r w:rsidR="007F0E54">
              <w:t xml:space="preserve"> </w:t>
            </w:r>
            <w:proofErr w:type="spellStart"/>
            <w:r w:rsidR="007F0E54" w:rsidRPr="00205A58">
              <w:rPr>
                <w:rFonts w:ascii="Arial" w:hAnsi="Arial" w:cs="Arial"/>
                <w:b/>
                <w:bCs/>
              </w:rPr>
              <w:t>Neditol</w:t>
            </w:r>
            <w:proofErr w:type="spellEnd"/>
            <w:r w:rsidR="007F0E54" w:rsidRPr="00205A58">
              <w:rPr>
                <w:rFonts w:ascii="Arial" w:hAnsi="Arial" w:cs="Arial"/>
                <w:b/>
                <w:bCs/>
              </w:rPr>
              <w:t>® (</w:t>
            </w:r>
            <w:proofErr w:type="spellStart"/>
            <w:r w:rsidR="007F0E54" w:rsidRPr="00205A58">
              <w:rPr>
                <w:rFonts w:ascii="Arial" w:hAnsi="Arial" w:cs="Arial"/>
                <w:b/>
                <w:bCs/>
              </w:rPr>
              <w:t>tolterodine</w:t>
            </w:r>
            <w:proofErr w:type="spellEnd"/>
            <w:r w:rsidR="007F0E54" w:rsidRPr="00205A58">
              <w:rPr>
                <w:rFonts w:ascii="Arial" w:hAnsi="Arial" w:cs="Arial"/>
                <w:b/>
                <w:bCs/>
              </w:rPr>
              <w:t xml:space="preserve"> MR)</w:t>
            </w:r>
            <w:r w:rsidR="007F0E54" w:rsidRPr="007F0E54">
              <w:rPr>
                <w:rFonts w:ascii="Arial" w:hAnsi="Arial" w:cs="Arial"/>
                <w:bCs/>
              </w:rPr>
              <w:t xml:space="preserve">, rather than </w:t>
            </w:r>
            <w:proofErr w:type="spellStart"/>
            <w:r w:rsidR="007F0E54" w:rsidRPr="007F0E54">
              <w:rPr>
                <w:rFonts w:ascii="Arial" w:hAnsi="Arial" w:cs="Arial"/>
                <w:bCs/>
              </w:rPr>
              <w:t>darifenacin</w:t>
            </w:r>
            <w:proofErr w:type="spellEnd"/>
            <w:r w:rsidR="007333CF">
              <w:rPr>
                <w:rFonts w:ascii="Arial" w:hAnsi="Arial" w:cs="Arial"/>
                <w:bCs/>
              </w:rPr>
              <w:t xml:space="preserve"> (as per NICE CG 171)</w:t>
            </w:r>
            <w:r w:rsidR="007F0E54" w:rsidRPr="007F0E54">
              <w:rPr>
                <w:rFonts w:ascii="Arial" w:hAnsi="Arial" w:cs="Arial"/>
                <w:bCs/>
              </w:rPr>
              <w:t>, is the modified release preparation of choice because it is the most effective once a day preparation.</w:t>
            </w:r>
          </w:p>
          <w:p w:rsidR="00513E32" w:rsidRPr="00F35A3A" w:rsidRDefault="007F0E54" w:rsidP="00F35A3A">
            <w:pPr>
              <w:pStyle w:val="ColorfulList-Accent11"/>
              <w:rPr>
                <w:rFonts w:ascii="Arial" w:hAnsi="Arial" w:cs="Arial"/>
                <w:bCs/>
              </w:rPr>
            </w:pPr>
            <w:r w:rsidRPr="007F0E54">
              <w:rPr>
                <w:rFonts w:ascii="Arial" w:hAnsi="Arial" w:cs="Arial"/>
                <w:bCs/>
              </w:rPr>
              <w:t xml:space="preserve">Note - </w:t>
            </w:r>
            <w:r w:rsidR="00205A58">
              <w:rPr>
                <w:rFonts w:ascii="Arial" w:hAnsi="Arial" w:cs="Arial"/>
                <w:bCs/>
              </w:rPr>
              <w:t>Fur</w:t>
            </w:r>
            <w:r w:rsidRPr="007F0E54">
              <w:rPr>
                <w:rFonts w:ascii="Arial" w:hAnsi="Arial" w:cs="Arial"/>
                <w:bCs/>
              </w:rPr>
              <w:t xml:space="preserve">thermore the price of </w:t>
            </w:r>
            <w:proofErr w:type="spellStart"/>
            <w:r w:rsidRPr="007F0E54">
              <w:rPr>
                <w:rFonts w:ascii="Arial" w:hAnsi="Arial" w:cs="Arial"/>
                <w:bCs/>
              </w:rPr>
              <w:t>darifenacin</w:t>
            </w:r>
            <w:proofErr w:type="spellEnd"/>
            <w:r w:rsidRPr="007F0E54">
              <w:rPr>
                <w:rFonts w:ascii="Arial" w:hAnsi="Arial" w:cs="Arial"/>
                <w:bCs/>
              </w:rPr>
              <w:t xml:space="preserve"> has increased post publication of the NICE guidance making it less cost-effective.</w:t>
            </w:r>
          </w:p>
          <w:p w:rsidR="000E1D0B" w:rsidRPr="00F35A3A" w:rsidRDefault="00513E32" w:rsidP="00F00C9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35A3A">
              <w:rPr>
                <w:rFonts w:ascii="Arial" w:hAnsi="Arial" w:cs="Arial"/>
                <w:sz w:val="22"/>
                <w:szCs w:val="22"/>
                <w:u w:val="single"/>
              </w:rPr>
              <w:t>Reference Documents</w:t>
            </w:r>
            <w:r w:rsidR="000E1D0B" w:rsidRPr="00F35A3A">
              <w:rPr>
                <w:rFonts w:ascii="Arial" w:hAnsi="Arial" w:cs="Arial"/>
                <w:sz w:val="22"/>
                <w:szCs w:val="22"/>
                <w:u w:val="single"/>
              </w:rPr>
              <w:t xml:space="preserve">: </w:t>
            </w:r>
          </w:p>
          <w:p w:rsidR="00513E32" w:rsidRPr="00826D10" w:rsidRDefault="000E1D0B" w:rsidP="00F00C9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>NICE Clinical Guideline CG171. Urinary Incontinence. The Management of Urinary Incontinence in Women. Issued Sept 2013</w:t>
            </w:r>
          </w:p>
          <w:p w:rsidR="000E1D0B" w:rsidRPr="00826D10" w:rsidRDefault="000E1D0B" w:rsidP="00F00C9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>NICE Clinical Guideline CG148. Urinary Incontinence in Neurological Disease. Management of Lower Urinary Tract Dysfunction in Neurological Disease. Issued Aug 2012</w:t>
            </w:r>
          </w:p>
          <w:p w:rsidR="000E1D0B" w:rsidRPr="00826D10" w:rsidRDefault="000E1D0B" w:rsidP="00F00C9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>NICE Clinical Guideline CG97. The Management of Lower Urinary Tract Symptoms in Men. Issued May 2010</w:t>
            </w:r>
          </w:p>
          <w:p w:rsidR="00E01E14" w:rsidRPr="00826D10" w:rsidRDefault="00E01E14" w:rsidP="00F00C9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Presqipp</w:t>
            </w:r>
            <w:proofErr w:type="spellEnd"/>
            <w:r w:rsidRPr="00826D10">
              <w:rPr>
                <w:rFonts w:ascii="Arial" w:hAnsi="Arial" w:cs="Arial"/>
                <w:sz w:val="22"/>
                <w:szCs w:val="22"/>
              </w:rPr>
              <w:t xml:space="preserve"> Bulletin: B 58 Urinary Incontinence</w:t>
            </w:r>
            <w:r w:rsidR="00871284">
              <w:rPr>
                <w:rFonts w:ascii="Arial" w:hAnsi="Arial" w:cs="Arial"/>
                <w:sz w:val="22"/>
                <w:szCs w:val="22"/>
              </w:rPr>
              <w:t xml:space="preserve"> (draft copy)</w:t>
            </w:r>
          </w:p>
          <w:p w:rsidR="00513E32" w:rsidRPr="00826D10" w:rsidRDefault="00513E32" w:rsidP="00F00C9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513E32" w:rsidRPr="00826D10" w:rsidRDefault="00513E32" w:rsidP="00F00C9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>Additional Information</w:t>
            </w:r>
          </w:p>
          <w:p w:rsidR="001F4AD1" w:rsidRPr="00826D10" w:rsidRDefault="001F4AD1" w:rsidP="00F00C9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>NICE bites Urinary Incontinence in Women. Oct 2013. UKMI</w:t>
            </w:r>
          </w:p>
          <w:p w:rsidR="001F4AD1" w:rsidRPr="00826D10" w:rsidRDefault="001F4AD1" w:rsidP="00F00C9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>NICE bites Management of lower urinary tract symptoms in men. June 2010. UKMI</w:t>
            </w:r>
          </w:p>
          <w:p w:rsidR="00D10D1A" w:rsidRPr="00826D10" w:rsidRDefault="00D10D1A" w:rsidP="00F00C9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10CB9" w:rsidRPr="00826D10" w:rsidRDefault="00710CB9" w:rsidP="00513E32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13E32" w:rsidRPr="00826D10" w:rsidTr="00F00C96">
        <w:trPr>
          <w:trHeight w:val="324"/>
        </w:trPr>
        <w:tc>
          <w:tcPr>
            <w:tcW w:w="8522" w:type="dxa"/>
          </w:tcPr>
          <w:p w:rsidR="00513E32" w:rsidRPr="00826D10" w:rsidRDefault="00513E32" w:rsidP="00F00C96">
            <w:pPr>
              <w:rPr>
                <w:rFonts w:ascii="Arial" w:hAnsi="Arial" w:cs="Arial"/>
                <w:b/>
              </w:rPr>
            </w:pPr>
            <w:r w:rsidRPr="00826D10">
              <w:rPr>
                <w:rFonts w:ascii="Arial" w:hAnsi="Arial" w:cs="Arial"/>
                <w:b/>
              </w:rPr>
              <w:t>DOSE and FREQUENCY EQUIVALENTS</w:t>
            </w:r>
          </w:p>
        </w:tc>
      </w:tr>
      <w:tr w:rsidR="00513E32" w:rsidRPr="00826D10" w:rsidTr="00F00C96">
        <w:trPr>
          <w:trHeight w:val="1246"/>
        </w:trPr>
        <w:tc>
          <w:tcPr>
            <w:tcW w:w="8522" w:type="dxa"/>
          </w:tcPr>
          <w:p w:rsidR="00025E14" w:rsidRPr="00826D10" w:rsidRDefault="00025E14" w:rsidP="003B08B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 xml:space="preserve">NICE states that </w:t>
            </w: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flavoxate</w:t>
            </w:r>
            <w:proofErr w:type="spellEnd"/>
            <w:r w:rsidRPr="00826D1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propantheline</w:t>
            </w:r>
            <w:proofErr w:type="spellEnd"/>
            <w:r w:rsidRPr="00826D10">
              <w:rPr>
                <w:rFonts w:ascii="Arial" w:hAnsi="Arial" w:cs="Arial"/>
                <w:sz w:val="22"/>
                <w:szCs w:val="22"/>
              </w:rPr>
              <w:t xml:space="preserve"> or imi</w:t>
            </w:r>
            <w:r w:rsidR="001E020F">
              <w:rPr>
                <w:rFonts w:ascii="Arial" w:hAnsi="Arial" w:cs="Arial"/>
                <w:sz w:val="22"/>
                <w:szCs w:val="22"/>
              </w:rPr>
              <w:t xml:space="preserve">pramine should not be used for </w:t>
            </w:r>
            <w:r w:rsidRPr="00826D10">
              <w:rPr>
                <w:rFonts w:ascii="Arial" w:hAnsi="Arial" w:cs="Arial"/>
                <w:sz w:val="22"/>
                <w:szCs w:val="22"/>
              </w:rPr>
              <w:t>urinary incontinence or over active bladder. Any patients on these drugs should be reviewed by a GP regarding their need for medication for OAB or UI.</w:t>
            </w:r>
          </w:p>
          <w:p w:rsidR="00025E14" w:rsidRDefault="00025E14" w:rsidP="003B08B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Mirabegron</w:t>
            </w:r>
            <w:proofErr w:type="spellEnd"/>
            <w:r w:rsidRPr="00826D10">
              <w:rPr>
                <w:rFonts w:ascii="Arial" w:hAnsi="Arial" w:cs="Arial"/>
                <w:sz w:val="22"/>
                <w:szCs w:val="22"/>
              </w:rPr>
              <w:t xml:space="preserve"> should only be used if </w:t>
            </w: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antimuscarinic</w:t>
            </w:r>
            <w:proofErr w:type="spellEnd"/>
            <w:r w:rsidRPr="00826D10">
              <w:rPr>
                <w:rFonts w:ascii="Arial" w:hAnsi="Arial" w:cs="Arial"/>
                <w:sz w:val="22"/>
                <w:szCs w:val="22"/>
              </w:rPr>
              <w:t xml:space="preserve"> drugs are contraindicated or ineffective or have unacceptable side effects. </w:t>
            </w:r>
            <w:proofErr w:type="spellStart"/>
            <w:r w:rsidR="00AF3030">
              <w:rPr>
                <w:rFonts w:ascii="Arial" w:hAnsi="Arial" w:cs="Arial"/>
                <w:sz w:val="22"/>
                <w:szCs w:val="22"/>
              </w:rPr>
              <w:t>Mirabegron</w:t>
            </w:r>
            <w:proofErr w:type="spellEnd"/>
            <w:r w:rsidR="00AF3030">
              <w:rPr>
                <w:rFonts w:ascii="Arial" w:hAnsi="Arial" w:cs="Arial"/>
                <w:sz w:val="22"/>
                <w:szCs w:val="22"/>
              </w:rPr>
              <w:t xml:space="preserve"> is amber 2 in Northants.</w:t>
            </w:r>
          </w:p>
          <w:p w:rsidR="006F3539" w:rsidRDefault="006F3539" w:rsidP="003B08B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C0297B" w:rsidRPr="00C0297B" w:rsidRDefault="00C0297B" w:rsidP="00C0297B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0297B">
              <w:rPr>
                <w:rFonts w:ascii="Arial" w:hAnsi="Arial" w:cs="Arial"/>
                <w:b/>
                <w:sz w:val="22"/>
                <w:szCs w:val="22"/>
              </w:rPr>
              <w:t xml:space="preserve">Consider switching patients on the following drugs to </w:t>
            </w:r>
            <w:proofErr w:type="spellStart"/>
            <w:r w:rsidRPr="00C0297B">
              <w:rPr>
                <w:rFonts w:ascii="Arial" w:hAnsi="Arial" w:cs="Arial"/>
                <w:b/>
                <w:sz w:val="22"/>
                <w:szCs w:val="22"/>
              </w:rPr>
              <w:t>tolterodine</w:t>
            </w:r>
            <w:proofErr w:type="spellEnd"/>
            <w:r w:rsidRPr="00C0297B">
              <w:rPr>
                <w:rFonts w:ascii="Arial" w:hAnsi="Arial" w:cs="Arial"/>
                <w:b/>
                <w:sz w:val="22"/>
                <w:szCs w:val="22"/>
              </w:rPr>
              <w:t xml:space="preserve"> 1mg twice daily.</w:t>
            </w:r>
          </w:p>
          <w:p w:rsidR="00C0297B" w:rsidRPr="00826D10" w:rsidRDefault="00C0297B" w:rsidP="00C029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6F3539" w:rsidRDefault="006F3539" w:rsidP="006F353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 xml:space="preserve">Oxybutynin MR (or </w:t>
            </w: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Lyrinel</w:t>
            </w:r>
            <w:proofErr w:type="spellEnd"/>
            <w:r w:rsidRPr="00826D10">
              <w:rPr>
                <w:rFonts w:ascii="Arial" w:hAnsi="Arial" w:cs="Arial"/>
                <w:sz w:val="22"/>
                <w:szCs w:val="22"/>
              </w:rPr>
              <w:t xml:space="preserve"> XL) 5mg tablets once daily</w:t>
            </w:r>
          </w:p>
          <w:p w:rsidR="006F3539" w:rsidRDefault="006F3539" w:rsidP="006F353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Trospium</w:t>
            </w:r>
            <w:proofErr w:type="spellEnd"/>
            <w:r w:rsidRPr="00826D10">
              <w:rPr>
                <w:rFonts w:ascii="Arial" w:hAnsi="Arial" w:cs="Arial"/>
                <w:sz w:val="22"/>
                <w:szCs w:val="22"/>
              </w:rPr>
              <w:t xml:space="preserve"> 20mg</w:t>
            </w:r>
            <w:r w:rsidR="00F35A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2A67">
              <w:rPr>
                <w:rFonts w:ascii="Arial" w:hAnsi="Arial" w:cs="Arial"/>
                <w:sz w:val="22"/>
                <w:szCs w:val="22"/>
              </w:rPr>
              <w:t xml:space="preserve">(or </w:t>
            </w:r>
            <w:proofErr w:type="spellStart"/>
            <w:r w:rsidR="00BF2A67">
              <w:rPr>
                <w:rFonts w:ascii="Arial" w:hAnsi="Arial" w:cs="Arial"/>
                <w:sz w:val="22"/>
                <w:szCs w:val="22"/>
              </w:rPr>
              <w:t>Regurin</w:t>
            </w:r>
            <w:proofErr w:type="spellEnd"/>
            <w:r w:rsidR="00BF2A67">
              <w:rPr>
                <w:rFonts w:ascii="Arial" w:hAnsi="Arial" w:cs="Arial"/>
                <w:sz w:val="22"/>
                <w:szCs w:val="22"/>
              </w:rPr>
              <w:t xml:space="preserve"> or </w:t>
            </w:r>
            <w:proofErr w:type="spellStart"/>
            <w:r w:rsidR="00BF2A67">
              <w:rPr>
                <w:rFonts w:ascii="Arial" w:hAnsi="Arial" w:cs="Arial"/>
                <w:sz w:val="22"/>
                <w:szCs w:val="22"/>
              </w:rPr>
              <w:t>Flotros</w:t>
            </w:r>
            <w:proofErr w:type="spellEnd"/>
            <w:r w:rsidR="00BF2A67">
              <w:rPr>
                <w:rFonts w:ascii="Arial" w:hAnsi="Arial" w:cs="Arial"/>
                <w:sz w:val="22"/>
                <w:szCs w:val="22"/>
              </w:rPr>
              <w:t>)  once</w:t>
            </w:r>
            <w:r w:rsidRPr="00826D10">
              <w:rPr>
                <w:rFonts w:ascii="Arial" w:hAnsi="Arial" w:cs="Arial"/>
                <w:sz w:val="22"/>
                <w:szCs w:val="22"/>
              </w:rPr>
              <w:t xml:space="preserve"> daily</w:t>
            </w:r>
          </w:p>
          <w:p w:rsidR="006F3539" w:rsidRDefault="006F3539" w:rsidP="006F353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S</w:t>
            </w:r>
            <w:r w:rsidR="001E020F">
              <w:rPr>
                <w:rFonts w:ascii="Arial" w:hAnsi="Arial" w:cs="Arial"/>
                <w:sz w:val="22"/>
                <w:szCs w:val="22"/>
              </w:rPr>
              <w:t>olifenacin</w:t>
            </w:r>
            <w:proofErr w:type="spellEnd"/>
            <w:r w:rsidR="001E020F">
              <w:rPr>
                <w:rFonts w:ascii="Arial" w:hAnsi="Arial" w:cs="Arial"/>
                <w:sz w:val="22"/>
                <w:szCs w:val="22"/>
              </w:rPr>
              <w:t xml:space="preserve"> (or </w:t>
            </w:r>
            <w:proofErr w:type="spellStart"/>
            <w:r w:rsidR="001E020F">
              <w:rPr>
                <w:rFonts w:ascii="Arial" w:hAnsi="Arial" w:cs="Arial"/>
                <w:sz w:val="22"/>
                <w:szCs w:val="22"/>
              </w:rPr>
              <w:t>Vesicare</w:t>
            </w:r>
            <w:proofErr w:type="spellEnd"/>
            <w:r w:rsidR="001E020F">
              <w:rPr>
                <w:rFonts w:ascii="Arial" w:hAnsi="Arial" w:cs="Arial"/>
                <w:sz w:val="22"/>
                <w:szCs w:val="22"/>
              </w:rPr>
              <w:t>) 5mg</w:t>
            </w:r>
            <w:r w:rsidRPr="00826D10">
              <w:rPr>
                <w:rFonts w:ascii="Arial" w:hAnsi="Arial" w:cs="Arial"/>
                <w:sz w:val="22"/>
                <w:szCs w:val="22"/>
              </w:rPr>
              <w:t xml:space="preserve"> once daily</w:t>
            </w:r>
            <w:r w:rsidR="00C029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297B" w:rsidRPr="00C0297B">
              <w:rPr>
                <w:rFonts w:ascii="Arial" w:hAnsi="Arial" w:cs="Arial"/>
                <w:b/>
                <w:sz w:val="22"/>
                <w:szCs w:val="22"/>
              </w:rPr>
              <w:t>(note washout period)</w:t>
            </w:r>
          </w:p>
          <w:p w:rsidR="006F3539" w:rsidRDefault="006F3539" w:rsidP="006F353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Fes</w:t>
            </w:r>
            <w:r w:rsidR="001E020F">
              <w:rPr>
                <w:rFonts w:ascii="Arial" w:hAnsi="Arial" w:cs="Arial"/>
                <w:sz w:val="22"/>
                <w:szCs w:val="22"/>
              </w:rPr>
              <w:t>oterodine</w:t>
            </w:r>
            <w:proofErr w:type="spellEnd"/>
            <w:r w:rsidR="001E020F">
              <w:rPr>
                <w:rFonts w:ascii="Arial" w:hAnsi="Arial" w:cs="Arial"/>
                <w:sz w:val="22"/>
                <w:szCs w:val="22"/>
              </w:rPr>
              <w:t xml:space="preserve"> (or </w:t>
            </w:r>
            <w:proofErr w:type="spellStart"/>
            <w:r w:rsidR="001E020F">
              <w:rPr>
                <w:rFonts w:ascii="Arial" w:hAnsi="Arial" w:cs="Arial"/>
                <w:sz w:val="22"/>
                <w:szCs w:val="22"/>
              </w:rPr>
              <w:t>Toviaz</w:t>
            </w:r>
            <w:proofErr w:type="spellEnd"/>
            <w:r w:rsidR="001E020F">
              <w:rPr>
                <w:rFonts w:ascii="Arial" w:hAnsi="Arial" w:cs="Arial"/>
                <w:sz w:val="22"/>
                <w:szCs w:val="22"/>
              </w:rPr>
              <w:t>) 4mg</w:t>
            </w:r>
            <w:r w:rsidRPr="00826D10">
              <w:rPr>
                <w:rFonts w:ascii="Arial" w:hAnsi="Arial" w:cs="Arial"/>
                <w:sz w:val="22"/>
                <w:szCs w:val="22"/>
              </w:rPr>
              <w:t xml:space="preserve"> once daily</w:t>
            </w:r>
          </w:p>
          <w:p w:rsidR="006F3539" w:rsidRDefault="006F3539" w:rsidP="006F353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Propiverine</w:t>
            </w:r>
            <w:proofErr w:type="spellEnd"/>
            <w:r w:rsidRPr="00826D10">
              <w:rPr>
                <w:rFonts w:ascii="Arial" w:hAnsi="Arial" w:cs="Arial"/>
                <w:sz w:val="22"/>
                <w:szCs w:val="22"/>
              </w:rPr>
              <w:t xml:space="preserve"> (or </w:t>
            </w:r>
            <w:proofErr w:type="spellStart"/>
            <w:r w:rsidR="001E020F">
              <w:rPr>
                <w:rFonts w:ascii="Arial" w:hAnsi="Arial" w:cs="Arial"/>
                <w:sz w:val="22"/>
                <w:szCs w:val="22"/>
              </w:rPr>
              <w:t>Detrunorm</w:t>
            </w:r>
            <w:proofErr w:type="spellEnd"/>
            <w:r w:rsidR="001E020F">
              <w:rPr>
                <w:rFonts w:ascii="Arial" w:hAnsi="Arial" w:cs="Arial"/>
                <w:sz w:val="22"/>
                <w:szCs w:val="22"/>
              </w:rPr>
              <w:t>) 15mg 1-2</w:t>
            </w:r>
            <w:r w:rsidRPr="00826D10">
              <w:rPr>
                <w:rFonts w:ascii="Arial" w:hAnsi="Arial" w:cs="Arial"/>
                <w:sz w:val="22"/>
                <w:szCs w:val="22"/>
              </w:rPr>
              <w:t xml:space="preserve"> times daily</w:t>
            </w:r>
          </w:p>
          <w:p w:rsidR="006F3539" w:rsidRDefault="006F3539" w:rsidP="006F353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Propiverine</w:t>
            </w:r>
            <w:proofErr w:type="spellEnd"/>
            <w:r w:rsidRPr="00826D10">
              <w:rPr>
                <w:rFonts w:ascii="Arial" w:hAnsi="Arial" w:cs="Arial"/>
                <w:sz w:val="22"/>
                <w:szCs w:val="22"/>
              </w:rPr>
              <w:t xml:space="preserve"> MR 30mg (or </w:t>
            </w: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Detrunorm</w:t>
            </w:r>
            <w:proofErr w:type="spellEnd"/>
            <w:r w:rsidRPr="00826D10">
              <w:rPr>
                <w:rFonts w:ascii="Arial" w:hAnsi="Arial" w:cs="Arial"/>
                <w:sz w:val="22"/>
                <w:szCs w:val="22"/>
              </w:rPr>
              <w:t xml:space="preserve"> XL ) 30mg once daily</w:t>
            </w:r>
          </w:p>
          <w:p w:rsidR="00C75A4A" w:rsidRDefault="00C75A4A" w:rsidP="006F353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Dairfenacin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Emselex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 7.5mg once daily</w:t>
            </w:r>
          </w:p>
          <w:p w:rsidR="007F0E54" w:rsidRDefault="007F0E54" w:rsidP="006F353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4E04F0" w:rsidRDefault="004E04F0" w:rsidP="006F353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C0297B" w:rsidRPr="00C0297B" w:rsidRDefault="00C0297B" w:rsidP="00C029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0297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Consider switching patients on the following drugs to </w:t>
            </w:r>
            <w:proofErr w:type="spellStart"/>
            <w:r w:rsidRPr="00C0297B">
              <w:rPr>
                <w:rFonts w:ascii="Arial" w:hAnsi="Arial" w:cs="Arial"/>
                <w:b/>
                <w:sz w:val="22"/>
                <w:szCs w:val="22"/>
              </w:rPr>
              <w:t>tolterodine</w:t>
            </w:r>
            <w:proofErr w:type="spellEnd"/>
            <w:r w:rsidRPr="00C0297B">
              <w:rPr>
                <w:rFonts w:ascii="Arial" w:hAnsi="Arial" w:cs="Arial"/>
                <w:b/>
                <w:sz w:val="22"/>
                <w:szCs w:val="22"/>
              </w:rPr>
              <w:t xml:space="preserve"> immediate release 2mg twice daily</w:t>
            </w:r>
          </w:p>
          <w:p w:rsidR="00C0297B" w:rsidRDefault="00C0297B" w:rsidP="00341AA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020F" w:rsidRDefault="001E020F" w:rsidP="00341AA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Oxybutynin</w:t>
            </w:r>
            <w:r w:rsidR="009920EB">
              <w:rPr>
                <w:rFonts w:ascii="Arial" w:hAnsi="Arial" w:cs="Arial"/>
                <w:sz w:val="22"/>
                <w:szCs w:val="22"/>
              </w:rPr>
              <w:t xml:space="preserve"> MR</w:t>
            </w:r>
            <w:r>
              <w:rPr>
                <w:rFonts w:ascii="Arial" w:hAnsi="Arial" w:cs="Arial"/>
                <w:sz w:val="22"/>
                <w:szCs w:val="22"/>
              </w:rPr>
              <w:t xml:space="preserve"> (or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Lyrinel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XL) 10mg tablets once daily</w:t>
            </w:r>
          </w:p>
          <w:p w:rsidR="001E020F" w:rsidRDefault="001E020F" w:rsidP="00341AA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Tolterodine</w:t>
            </w:r>
            <w:proofErr w:type="spellEnd"/>
            <w:r w:rsidRPr="00826D10">
              <w:rPr>
                <w:rFonts w:ascii="Arial" w:hAnsi="Arial" w:cs="Arial"/>
                <w:sz w:val="22"/>
                <w:szCs w:val="22"/>
              </w:rPr>
              <w:t xml:space="preserve"> MR 4mg (or </w:t>
            </w: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Detrusitol</w:t>
            </w:r>
            <w:proofErr w:type="spellEnd"/>
            <w:r w:rsidRPr="00826D10">
              <w:rPr>
                <w:rFonts w:ascii="Arial" w:hAnsi="Arial" w:cs="Arial"/>
                <w:sz w:val="22"/>
                <w:szCs w:val="22"/>
              </w:rPr>
              <w:t xml:space="preserve"> XL 4mg) once daily</w:t>
            </w:r>
          </w:p>
          <w:p w:rsidR="00213291" w:rsidRDefault="00213291" w:rsidP="0021329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Trospium</w:t>
            </w:r>
            <w:proofErr w:type="spellEnd"/>
            <w:r w:rsidRPr="00826D10">
              <w:rPr>
                <w:rFonts w:ascii="Arial" w:hAnsi="Arial" w:cs="Arial"/>
                <w:sz w:val="22"/>
                <w:szCs w:val="22"/>
              </w:rPr>
              <w:t xml:space="preserve"> 20mg(or </w:t>
            </w: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Regurin</w:t>
            </w:r>
            <w:proofErr w:type="spellEnd"/>
            <w:r w:rsidRPr="00826D10">
              <w:rPr>
                <w:rFonts w:ascii="Arial" w:hAnsi="Arial" w:cs="Arial"/>
                <w:sz w:val="22"/>
                <w:szCs w:val="22"/>
              </w:rPr>
              <w:t xml:space="preserve"> or </w:t>
            </w: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Flotros</w:t>
            </w:r>
            <w:proofErr w:type="spellEnd"/>
            <w:r w:rsidRPr="00826D10">
              <w:rPr>
                <w:rFonts w:ascii="Arial" w:hAnsi="Arial" w:cs="Arial"/>
                <w:sz w:val="22"/>
                <w:szCs w:val="22"/>
              </w:rPr>
              <w:t>)  twice daily</w:t>
            </w:r>
          </w:p>
          <w:p w:rsidR="00213291" w:rsidRDefault="00213291" w:rsidP="00341AA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Trospium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MR 60mg (or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Flotros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XL) once daily</w:t>
            </w:r>
          </w:p>
          <w:p w:rsidR="001E020F" w:rsidRDefault="00213291" w:rsidP="0021329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proofErr w:type="spellStart"/>
            <w:r w:rsidR="001E020F">
              <w:rPr>
                <w:rFonts w:ascii="Arial" w:hAnsi="Arial" w:cs="Arial"/>
                <w:sz w:val="22"/>
                <w:szCs w:val="22"/>
              </w:rPr>
              <w:t>Solifenacin</w:t>
            </w:r>
            <w:proofErr w:type="spellEnd"/>
            <w:r w:rsidR="001E020F">
              <w:rPr>
                <w:rFonts w:ascii="Arial" w:hAnsi="Arial" w:cs="Arial"/>
                <w:sz w:val="22"/>
                <w:szCs w:val="22"/>
              </w:rPr>
              <w:t xml:space="preserve"> (or </w:t>
            </w:r>
            <w:proofErr w:type="spellStart"/>
            <w:r w:rsidR="001E020F">
              <w:rPr>
                <w:rFonts w:ascii="Arial" w:hAnsi="Arial" w:cs="Arial"/>
                <w:sz w:val="22"/>
                <w:szCs w:val="22"/>
              </w:rPr>
              <w:t>Vesicare</w:t>
            </w:r>
            <w:proofErr w:type="spellEnd"/>
            <w:r w:rsidR="001E020F">
              <w:rPr>
                <w:rFonts w:ascii="Arial" w:hAnsi="Arial" w:cs="Arial"/>
                <w:sz w:val="22"/>
                <w:szCs w:val="22"/>
              </w:rPr>
              <w:t>) 10mg</w:t>
            </w:r>
            <w:r w:rsidR="00C0297B">
              <w:rPr>
                <w:rFonts w:ascii="Arial" w:hAnsi="Arial" w:cs="Arial"/>
                <w:sz w:val="22"/>
                <w:szCs w:val="22"/>
              </w:rPr>
              <w:t xml:space="preserve"> once daily </w:t>
            </w:r>
            <w:r w:rsidR="00C0297B" w:rsidRPr="00C0297B">
              <w:rPr>
                <w:rFonts w:ascii="Arial" w:hAnsi="Arial" w:cs="Arial"/>
                <w:b/>
                <w:sz w:val="22"/>
                <w:szCs w:val="22"/>
              </w:rPr>
              <w:t>(note washout period)</w:t>
            </w:r>
          </w:p>
          <w:p w:rsidR="001E020F" w:rsidRDefault="001E020F" w:rsidP="00341AA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Fesoterodine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Toviaz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 8mg once daily</w:t>
            </w:r>
          </w:p>
          <w:p w:rsidR="001E020F" w:rsidRDefault="001E020F" w:rsidP="00341AA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Propiverine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Detronorm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15mg 3-4 times daily</w:t>
            </w:r>
          </w:p>
          <w:p w:rsidR="00C75A4A" w:rsidRDefault="00C75A4A" w:rsidP="00C75A4A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Dairfenacin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Emselex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 15mg once daily</w:t>
            </w:r>
          </w:p>
          <w:p w:rsidR="00C75A4A" w:rsidRDefault="00C75A4A" w:rsidP="00341AA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C0297B" w:rsidRDefault="00C0297B" w:rsidP="00341AA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C0297B" w:rsidRPr="00C0297B" w:rsidRDefault="00C0297B" w:rsidP="00C029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0297B">
              <w:rPr>
                <w:rFonts w:ascii="Arial" w:hAnsi="Arial" w:cs="Arial"/>
                <w:b/>
                <w:sz w:val="22"/>
                <w:szCs w:val="22"/>
              </w:rPr>
              <w:t xml:space="preserve">Consider switching patients on the following drugs to </w:t>
            </w:r>
            <w:proofErr w:type="spellStart"/>
            <w:r w:rsidRPr="00C0297B">
              <w:rPr>
                <w:rFonts w:ascii="Arial" w:hAnsi="Arial" w:cs="Arial"/>
                <w:b/>
                <w:sz w:val="22"/>
                <w:szCs w:val="22"/>
              </w:rPr>
              <w:t>Neditol</w:t>
            </w:r>
            <w:proofErr w:type="spellEnd"/>
            <w:r w:rsidRPr="00C0297B">
              <w:rPr>
                <w:rFonts w:ascii="Arial" w:hAnsi="Arial" w:cs="Arial"/>
                <w:b/>
                <w:sz w:val="22"/>
                <w:szCs w:val="22"/>
              </w:rPr>
              <w:t xml:space="preserve"> 4mg once daily if </w:t>
            </w:r>
            <w:proofErr w:type="spellStart"/>
            <w:r w:rsidRPr="00C0297B">
              <w:rPr>
                <w:rFonts w:ascii="Arial" w:hAnsi="Arial" w:cs="Arial"/>
                <w:b/>
                <w:sz w:val="22"/>
                <w:szCs w:val="22"/>
              </w:rPr>
              <w:t>tolterodine</w:t>
            </w:r>
            <w:proofErr w:type="spellEnd"/>
            <w:r w:rsidRPr="00C0297B">
              <w:rPr>
                <w:rFonts w:ascii="Arial" w:hAnsi="Arial" w:cs="Arial"/>
                <w:b/>
                <w:sz w:val="22"/>
                <w:szCs w:val="22"/>
              </w:rPr>
              <w:t xml:space="preserve"> IR already tried or contraindicated or once daily dosing required.</w:t>
            </w:r>
          </w:p>
          <w:p w:rsidR="00826D10" w:rsidRPr="00826D10" w:rsidRDefault="00826D10" w:rsidP="00826D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920EB" w:rsidRDefault="009920EB" w:rsidP="009920E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 xml:space="preserve">Oxybutynin </w:t>
            </w:r>
            <w:r>
              <w:rPr>
                <w:rFonts w:ascii="Arial" w:hAnsi="Arial" w:cs="Arial"/>
                <w:sz w:val="22"/>
                <w:szCs w:val="22"/>
              </w:rPr>
              <w:t xml:space="preserve">MR (or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Lyrinel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XL)</w:t>
            </w:r>
            <w:r w:rsidRPr="00826D10">
              <w:rPr>
                <w:rFonts w:ascii="Arial" w:hAnsi="Arial" w:cs="Arial"/>
                <w:sz w:val="22"/>
                <w:szCs w:val="22"/>
              </w:rPr>
              <w:t xml:space="preserve"> 10mg tablets once daily</w:t>
            </w:r>
            <w:r w:rsidR="0038126E">
              <w:rPr>
                <w:rFonts w:ascii="Arial" w:hAnsi="Arial" w:cs="Arial"/>
                <w:sz w:val="22"/>
                <w:szCs w:val="22"/>
              </w:rPr>
              <w:t xml:space="preserve"> (Oxybutynin MR 5mg tablets are cheaper than </w:t>
            </w:r>
            <w:proofErr w:type="spellStart"/>
            <w:r w:rsidR="0038126E">
              <w:rPr>
                <w:rFonts w:ascii="Arial" w:hAnsi="Arial" w:cs="Arial"/>
                <w:sz w:val="22"/>
                <w:szCs w:val="22"/>
              </w:rPr>
              <w:t>Neditol</w:t>
            </w:r>
            <w:proofErr w:type="spellEnd"/>
            <w:r w:rsidR="0038126E">
              <w:rPr>
                <w:rFonts w:ascii="Arial" w:hAnsi="Arial" w:cs="Arial"/>
                <w:sz w:val="22"/>
                <w:szCs w:val="22"/>
              </w:rPr>
              <w:t xml:space="preserve"> 4mg tablets so if once daily dosing is required do not switch)</w:t>
            </w:r>
          </w:p>
          <w:p w:rsidR="009920EB" w:rsidRDefault="009920EB" w:rsidP="009920E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Tolterodine</w:t>
            </w:r>
            <w:proofErr w:type="spellEnd"/>
            <w:r w:rsidRPr="00826D10">
              <w:rPr>
                <w:rFonts w:ascii="Arial" w:hAnsi="Arial" w:cs="Arial"/>
                <w:sz w:val="22"/>
                <w:szCs w:val="22"/>
              </w:rPr>
              <w:t xml:space="preserve"> MR 4mg (or </w:t>
            </w: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Detrusitol</w:t>
            </w:r>
            <w:proofErr w:type="spellEnd"/>
            <w:r w:rsidRPr="00826D10">
              <w:rPr>
                <w:rFonts w:ascii="Arial" w:hAnsi="Arial" w:cs="Arial"/>
                <w:sz w:val="22"/>
                <w:szCs w:val="22"/>
              </w:rPr>
              <w:t xml:space="preserve"> XL 4mg) once daily</w:t>
            </w:r>
          </w:p>
          <w:p w:rsidR="009920EB" w:rsidRDefault="009920EB" w:rsidP="009920E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Trospium</w:t>
            </w:r>
            <w:proofErr w:type="spellEnd"/>
            <w:r w:rsidRPr="00826D10">
              <w:rPr>
                <w:rFonts w:ascii="Arial" w:hAnsi="Arial" w:cs="Arial"/>
                <w:sz w:val="22"/>
                <w:szCs w:val="22"/>
              </w:rPr>
              <w:t xml:space="preserve"> 20mg(or </w:t>
            </w: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Regurin</w:t>
            </w:r>
            <w:proofErr w:type="spellEnd"/>
            <w:r w:rsidRPr="00826D10">
              <w:rPr>
                <w:rFonts w:ascii="Arial" w:hAnsi="Arial" w:cs="Arial"/>
                <w:sz w:val="22"/>
                <w:szCs w:val="22"/>
              </w:rPr>
              <w:t xml:space="preserve"> or </w:t>
            </w: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Flotros</w:t>
            </w:r>
            <w:proofErr w:type="spellEnd"/>
            <w:r w:rsidRPr="00826D10">
              <w:rPr>
                <w:rFonts w:ascii="Arial" w:hAnsi="Arial" w:cs="Arial"/>
                <w:sz w:val="22"/>
                <w:szCs w:val="22"/>
              </w:rPr>
              <w:t>)  twice daily</w:t>
            </w:r>
          </w:p>
          <w:p w:rsidR="00213291" w:rsidRDefault="00213291" w:rsidP="00213291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Trospium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MR 60mg (or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Flotros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XL) once daily</w:t>
            </w:r>
          </w:p>
          <w:p w:rsidR="009920EB" w:rsidRDefault="009920EB" w:rsidP="009920E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olifenacin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Vesicare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C0297B">
              <w:rPr>
                <w:rFonts w:ascii="Arial" w:hAnsi="Arial" w:cs="Arial"/>
                <w:sz w:val="22"/>
                <w:szCs w:val="22"/>
              </w:rPr>
              <w:t xml:space="preserve"> 5mg 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6D10">
              <w:rPr>
                <w:rFonts w:ascii="Arial" w:hAnsi="Arial" w:cs="Arial"/>
                <w:sz w:val="22"/>
                <w:szCs w:val="22"/>
              </w:rPr>
              <w:t>10mg once daily</w:t>
            </w:r>
            <w:r w:rsidR="00C029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297B" w:rsidRPr="00C0297B">
              <w:rPr>
                <w:rFonts w:ascii="Arial" w:hAnsi="Arial" w:cs="Arial"/>
                <w:b/>
                <w:sz w:val="22"/>
                <w:szCs w:val="22"/>
              </w:rPr>
              <w:t>(note washout period)</w:t>
            </w:r>
          </w:p>
          <w:p w:rsidR="009920EB" w:rsidRDefault="009920EB" w:rsidP="009920E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Fesoterodine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Toviaz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826D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126E">
              <w:rPr>
                <w:rFonts w:ascii="Arial" w:hAnsi="Arial" w:cs="Arial"/>
                <w:sz w:val="22"/>
                <w:szCs w:val="22"/>
              </w:rPr>
              <w:t>4-</w:t>
            </w:r>
            <w:r w:rsidRPr="00826D10">
              <w:rPr>
                <w:rFonts w:ascii="Arial" w:hAnsi="Arial" w:cs="Arial"/>
                <w:sz w:val="22"/>
                <w:szCs w:val="22"/>
              </w:rPr>
              <w:t>8mg once daily</w:t>
            </w:r>
          </w:p>
          <w:p w:rsidR="009920EB" w:rsidRDefault="009920EB" w:rsidP="009920E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6D10">
              <w:rPr>
                <w:rFonts w:ascii="Arial" w:hAnsi="Arial" w:cs="Arial"/>
                <w:sz w:val="22"/>
                <w:szCs w:val="22"/>
              </w:rPr>
              <w:t>Propive</w:t>
            </w:r>
            <w:r w:rsidR="00C0297B">
              <w:rPr>
                <w:rFonts w:ascii="Arial" w:hAnsi="Arial" w:cs="Arial"/>
                <w:sz w:val="22"/>
                <w:szCs w:val="22"/>
              </w:rPr>
              <w:t>rine</w:t>
            </w:r>
            <w:proofErr w:type="spellEnd"/>
            <w:r w:rsidR="00C0297B">
              <w:rPr>
                <w:rFonts w:ascii="Arial" w:hAnsi="Arial" w:cs="Arial"/>
                <w:sz w:val="22"/>
                <w:szCs w:val="22"/>
              </w:rPr>
              <w:t xml:space="preserve"> (or </w:t>
            </w:r>
            <w:proofErr w:type="spellStart"/>
            <w:r w:rsidR="00C0297B">
              <w:rPr>
                <w:rFonts w:ascii="Arial" w:hAnsi="Arial" w:cs="Arial"/>
                <w:sz w:val="22"/>
                <w:szCs w:val="22"/>
              </w:rPr>
              <w:t>Detrunorm</w:t>
            </w:r>
            <w:proofErr w:type="spellEnd"/>
            <w:r w:rsidR="00C0297B">
              <w:rPr>
                <w:rFonts w:ascii="Arial" w:hAnsi="Arial" w:cs="Arial"/>
                <w:sz w:val="22"/>
                <w:szCs w:val="22"/>
              </w:rPr>
              <w:t>) 15mg 1</w:t>
            </w:r>
            <w:r w:rsidRPr="00826D10">
              <w:rPr>
                <w:rFonts w:ascii="Arial" w:hAnsi="Arial" w:cs="Arial"/>
                <w:sz w:val="22"/>
                <w:szCs w:val="22"/>
              </w:rPr>
              <w:t xml:space="preserve"> to 4 times daily</w:t>
            </w:r>
          </w:p>
          <w:p w:rsidR="00C0297B" w:rsidRDefault="00C0297B" w:rsidP="00C0297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Dairfenacin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Emselex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 7.5mg  or 15mg once daily</w:t>
            </w:r>
          </w:p>
          <w:p w:rsidR="00C0297B" w:rsidRDefault="00C0297B" w:rsidP="009920EB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826D10" w:rsidRPr="00826D10" w:rsidRDefault="00826D10" w:rsidP="00826D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826D10" w:rsidRPr="00826D10" w:rsidRDefault="00826D10" w:rsidP="00826D10">
            <w:pPr>
              <w:rPr>
                <w:b/>
                <w:bCs/>
              </w:rPr>
            </w:pPr>
            <w:proofErr w:type="spellStart"/>
            <w:r w:rsidRPr="00826D10">
              <w:rPr>
                <w:b/>
                <w:bCs/>
              </w:rPr>
              <w:t>Antimuscarinic</w:t>
            </w:r>
            <w:proofErr w:type="spellEnd"/>
            <w:r w:rsidRPr="00826D10">
              <w:rPr>
                <w:b/>
                <w:bCs/>
              </w:rPr>
              <w:t xml:space="preserve"> product and price comparison – Drug Tariff January 2014[21], MIMS January 2014[22].</w:t>
            </w:r>
          </w:p>
          <w:tbl>
            <w:tblPr>
              <w:tblW w:w="5000" w:type="pct"/>
              <w:tblBorders>
                <w:top w:val="single" w:sz="8" w:space="0" w:color="4F81BD"/>
                <w:left w:val="single" w:sz="8" w:space="0" w:color="4F81BD"/>
                <w:bottom w:val="single" w:sz="8" w:space="0" w:color="4F81BD"/>
                <w:right w:val="single" w:sz="8" w:space="0" w:color="4F81BD"/>
                <w:insideH w:val="single" w:sz="8" w:space="0" w:color="4F81BD"/>
                <w:insideV w:val="single" w:sz="8" w:space="0" w:color="4F81BD"/>
              </w:tblBorders>
              <w:tblLook w:val="00A0" w:firstRow="1" w:lastRow="0" w:firstColumn="1" w:lastColumn="0" w:noHBand="0" w:noVBand="0"/>
            </w:tblPr>
            <w:tblGrid>
              <w:gridCol w:w="4927"/>
              <w:gridCol w:w="3359"/>
            </w:tblGrid>
            <w:tr w:rsidR="00826D10" w:rsidRPr="00826D10" w:rsidTr="00826D10">
              <w:tc>
                <w:tcPr>
                  <w:tcW w:w="2973" w:type="pct"/>
                  <w:tcBorders>
                    <w:top w:val="single" w:sz="8" w:space="0" w:color="4F81BD"/>
                    <w:left w:val="single" w:sz="8" w:space="0" w:color="4F81BD"/>
                    <w:bottom w:val="single" w:sz="18" w:space="0" w:color="4F81BD"/>
                    <w:right w:val="single" w:sz="8" w:space="0" w:color="4F81BD"/>
                  </w:tcBorders>
                  <w:shd w:val="clear" w:color="auto" w:fill="auto"/>
                </w:tcPr>
                <w:p w:rsidR="00826D10" w:rsidRPr="00826D10" w:rsidRDefault="00826D10" w:rsidP="00826D10">
                  <w:pPr>
                    <w:rPr>
                      <w:rFonts w:eastAsia="MS Gothic"/>
                      <w:b/>
                      <w:bCs/>
                      <w:lang w:val="en-US" w:eastAsia="en-US"/>
                    </w:rPr>
                  </w:pPr>
                  <w:r w:rsidRPr="00826D10">
                    <w:rPr>
                      <w:rFonts w:eastAsia="MS Gothic"/>
                      <w:lang w:val="en-US" w:eastAsia="en-US"/>
                    </w:rPr>
                    <w:t>Product</w:t>
                  </w:r>
                </w:p>
              </w:tc>
              <w:tc>
                <w:tcPr>
                  <w:tcW w:w="2027" w:type="pct"/>
                  <w:tcBorders>
                    <w:top w:val="single" w:sz="8" w:space="0" w:color="4F81BD"/>
                    <w:left w:val="single" w:sz="8" w:space="0" w:color="4F81BD"/>
                    <w:bottom w:val="single" w:sz="1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826D10" w:rsidRPr="00826D10" w:rsidRDefault="00826D10" w:rsidP="00826D10">
                  <w:pPr>
                    <w:rPr>
                      <w:rFonts w:eastAsia="MS Gothic"/>
                      <w:b/>
                      <w:bCs/>
                      <w:lang w:val="en-US" w:eastAsia="en-US"/>
                    </w:rPr>
                  </w:pPr>
                  <w:r w:rsidRPr="00826D10">
                    <w:rPr>
                      <w:rFonts w:eastAsia="MS Gothic"/>
                      <w:lang w:val="en-US" w:eastAsia="en-US"/>
                    </w:rPr>
                    <w:t>Cost per 28 days</w:t>
                  </w:r>
                </w:p>
              </w:tc>
            </w:tr>
            <w:tr w:rsidR="00826D10" w:rsidRPr="00826D10" w:rsidTr="00826D10">
              <w:tc>
                <w:tcPr>
                  <w:tcW w:w="2973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826D10" w:rsidRPr="00826D10" w:rsidRDefault="00826D10" w:rsidP="00826D10">
                  <w:pPr>
                    <w:rPr>
                      <w:b/>
                      <w:bCs/>
                      <w:lang w:val="en-US" w:eastAsia="en-US"/>
                    </w:rPr>
                  </w:pPr>
                  <w:proofErr w:type="spellStart"/>
                  <w:r w:rsidRPr="00826D10">
                    <w:rPr>
                      <w:rFonts w:eastAsia="MS Gothic"/>
                      <w:lang w:val="en-US" w:eastAsia="en-US"/>
                    </w:rPr>
                    <w:t>Oxybutinin</w:t>
                  </w:r>
                  <w:proofErr w:type="spellEnd"/>
                  <w:r w:rsidRPr="00826D10">
                    <w:rPr>
                      <w:rFonts w:eastAsia="MS Gothic"/>
                      <w:lang w:val="en-US" w:eastAsia="en-US"/>
                    </w:rPr>
                    <w:t xml:space="preserve"> 2.5mg twice daily to 5mg four times daily</w:t>
                  </w:r>
                </w:p>
              </w:tc>
              <w:tc>
                <w:tcPr>
                  <w:tcW w:w="2027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826D10" w:rsidRPr="00826D10" w:rsidRDefault="00826D10" w:rsidP="00826D10">
                  <w:pPr>
                    <w:rPr>
                      <w:bCs/>
                      <w:lang w:val="en-US" w:eastAsia="en-US"/>
                    </w:rPr>
                  </w:pPr>
                  <w:r w:rsidRPr="00826D10">
                    <w:rPr>
                      <w:bCs/>
                      <w:lang w:val="en-US" w:eastAsia="en-US"/>
                    </w:rPr>
                    <w:t>£1.97 - £6.34</w:t>
                  </w:r>
                </w:p>
              </w:tc>
            </w:tr>
            <w:tr w:rsidR="00826D10" w:rsidRPr="00826D10" w:rsidTr="00826D10">
              <w:tc>
                <w:tcPr>
                  <w:tcW w:w="2973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auto"/>
                </w:tcPr>
                <w:p w:rsidR="00826D10" w:rsidRPr="00826D10" w:rsidRDefault="00826D10" w:rsidP="00826D10">
                  <w:pPr>
                    <w:rPr>
                      <w:b/>
                      <w:bCs/>
                      <w:lang w:val="en-US" w:eastAsia="en-US"/>
                    </w:rPr>
                  </w:pPr>
                  <w:proofErr w:type="spellStart"/>
                  <w:r w:rsidRPr="00826D10">
                    <w:rPr>
                      <w:rFonts w:eastAsia="MS Gothic"/>
                      <w:lang w:val="en-US" w:eastAsia="en-US"/>
                    </w:rPr>
                    <w:t>Tolterodine</w:t>
                  </w:r>
                  <w:proofErr w:type="spellEnd"/>
                  <w:r w:rsidRPr="00826D10">
                    <w:rPr>
                      <w:rFonts w:eastAsia="MS Gothic"/>
                      <w:lang w:val="en-US" w:eastAsia="en-US"/>
                    </w:rPr>
                    <w:t xml:space="preserve"> 1mg -2mg twice daily</w:t>
                  </w:r>
                </w:p>
              </w:tc>
              <w:tc>
                <w:tcPr>
                  <w:tcW w:w="2027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826D10" w:rsidRPr="00826D10" w:rsidRDefault="00826D10" w:rsidP="00826D10">
                  <w:pPr>
                    <w:rPr>
                      <w:bCs/>
                      <w:lang w:val="en-US" w:eastAsia="en-US"/>
                    </w:rPr>
                  </w:pPr>
                  <w:r w:rsidRPr="00826D10">
                    <w:rPr>
                      <w:bCs/>
                      <w:lang w:val="en-US" w:eastAsia="en-US"/>
                    </w:rPr>
                    <w:t>£2.94 - £3.07</w:t>
                  </w:r>
                </w:p>
              </w:tc>
            </w:tr>
            <w:tr w:rsidR="00826D10" w:rsidRPr="00826D10" w:rsidTr="00826D10">
              <w:tc>
                <w:tcPr>
                  <w:tcW w:w="2973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826D10" w:rsidRPr="00826D10" w:rsidRDefault="00826D10" w:rsidP="00826D10">
                  <w:pPr>
                    <w:rPr>
                      <w:rFonts w:eastAsia="MS Gothic"/>
                      <w:b/>
                      <w:bCs/>
                      <w:lang w:val="en-US" w:eastAsia="en-US"/>
                    </w:rPr>
                  </w:pPr>
                  <w:proofErr w:type="spellStart"/>
                  <w:r w:rsidRPr="00826D10">
                    <w:rPr>
                      <w:rFonts w:eastAsia="MS Gothic"/>
                      <w:lang w:val="en-US" w:eastAsia="en-US"/>
                    </w:rPr>
                    <w:t>Neditol</w:t>
                  </w:r>
                  <w:proofErr w:type="spellEnd"/>
                  <w:r w:rsidRPr="00826D10">
                    <w:rPr>
                      <w:rFonts w:eastAsia="MS Gothic"/>
                      <w:lang w:val="en-US" w:eastAsia="en-US"/>
                    </w:rPr>
                    <w:t>® XL  2- 4mg daily</w:t>
                  </w:r>
                </w:p>
              </w:tc>
              <w:tc>
                <w:tcPr>
                  <w:tcW w:w="2027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826D10" w:rsidRPr="00826D10" w:rsidRDefault="00826D10" w:rsidP="00826D10">
                  <w:pPr>
                    <w:rPr>
                      <w:bCs/>
                      <w:lang w:val="en-US" w:eastAsia="en-US"/>
                    </w:rPr>
                  </w:pPr>
                  <w:r w:rsidRPr="00826D10">
                    <w:rPr>
                      <w:bCs/>
                      <w:lang w:val="en-US" w:eastAsia="en-US"/>
                    </w:rPr>
                    <w:t>£11.60 - £12.89</w:t>
                  </w:r>
                </w:p>
              </w:tc>
            </w:tr>
            <w:tr w:rsidR="00826D10" w:rsidRPr="00826D10" w:rsidTr="00826D10">
              <w:tc>
                <w:tcPr>
                  <w:tcW w:w="2973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auto"/>
                </w:tcPr>
                <w:p w:rsidR="00826D10" w:rsidRPr="00826D10" w:rsidRDefault="00826D10" w:rsidP="00826D10">
                  <w:pPr>
                    <w:rPr>
                      <w:rFonts w:eastAsia="MS Gothic"/>
                      <w:b/>
                      <w:bCs/>
                      <w:lang w:val="en-US" w:eastAsia="en-US"/>
                    </w:rPr>
                  </w:pPr>
                  <w:proofErr w:type="spellStart"/>
                  <w:r w:rsidRPr="00826D10">
                    <w:rPr>
                      <w:rFonts w:eastAsia="MS Gothic"/>
                      <w:lang w:val="en-US" w:eastAsia="en-US"/>
                    </w:rPr>
                    <w:t>Oxybutinin</w:t>
                  </w:r>
                  <w:proofErr w:type="spellEnd"/>
                  <w:r w:rsidRPr="00826D10">
                    <w:rPr>
                      <w:rFonts w:eastAsia="MS Gothic"/>
                      <w:lang w:val="en-US" w:eastAsia="en-US"/>
                    </w:rPr>
                    <w:t xml:space="preserve"> MR 5mg – 10mg daily</w:t>
                  </w:r>
                </w:p>
              </w:tc>
              <w:tc>
                <w:tcPr>
                  <w:tcW w:w="2027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826D10" w:rsidRPr="00826D10" w:rsidRDefault="00826D10" w:rsidP="00826D10">
                  <w:pPr>
                    <w:rPr>
                      <w:bCs/>
                      <w:lang w:val="en-US" w:eastAsia="en-US"/>
                    </w:rPr>
                  </w:pPr>
                  <w:r w:rsidRPr="00826D10">
                    <w:rPr>
                      <w:bCs/>
                      <w:lang w:val="en-US" w:eastAsia="en-US"/>
                    </w:rPr>
                    <w:t>£12.85 - £25.70</w:t>
                  </w:r>
                </w:p>
              </w:tc>
            </w:tr>
            <w:tr w:rsidR="00826D10" w:rsidRPr="00826D10" w:rsidTr="00826D10">
              <w:tc>
                <w:tcPr>
                  <w:tcW w:w="2973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826D10" w:rsidRPr="00826D10" w:rsidRDefault="00826D10" w:rsidP="00826D10">
                  <w:pPr>
                    <w:rPr>
                      <w:rFonts w:eastAsia="MS Gothic"/>
                      <w:b/>
                      <w:bCs/>
                      <w:lang w:val="en-US" w:eastAsia="en-US"/>
                    </w:rPr>
                  </w:pPr>
                  <w:proofErr w:type="spellStart"/>
                  <w:r w:rsidRPr="00826D10">
                    <w:rPr>
                      <w:rFonts w:eastAsia="MS Gothic"/>
                      <w:lang w:val="en-US" w:eastAsia="en-US"/>
                    </w:rPr>
                    <w:t>Trospium</w:t>
                  </w:r>
                  <w:proofErr w:type="spellEnd"/>
                  <w:r w:rsidRPr="00826D10">
                    <w:rPr>
                      <w:rFonts w:eastAsia="MS Gothic"/>
                      <w:lang w:val="en-US" w:eastAsia="en-US"/>
                    </w:rPr>
                    <w:t xml:space="preserve"> MR  60mg daily</w:t>
                  </w:r>
                </w:p>
              </w:tc>
              <w:tc>
                <w:tcPr>
                  <w:tcW w:w="2027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826D10" w:rsidRPr="00826D10" w:rsidRDefault="00826D10" w:rsidP="00826D10">
                  <w:pPr>
                    <w:rPr>
                      <w:bCs/>
                      <w:lang w:val="en-US" w:eastAsia="en-US"/>
                    </w:rPr>
                  </w:pPr>
                  <w:r w:rsidRPr="00826D10">
                    <w:rPr>
                      <w:bCs/>
                      <w:lang w:val="en-US" w:eastAsia="en-US"/>
                    </w:rPr>
                    <w:t>£23.05</w:t>
                  </w:r>
                </w:p>
              </w:tc>
            </w:tr>
            <w:tr w:rsidR="00826D10" w:rsidRPr="00826D10" w:rsidTr="00826D10">
              <w:tc>
                <w:tcPr>
                  <w:tcW w:w="2973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auto"/>
                </w:tcPr>
                <w:p w:rsidR="00826D10" w:rsidRPr="00826D10" w:rsidRDefault="00826D10" w:rsidP="00826D10">
                  <w:pPr>
                    <w:rPr>
                      <w:rFonts w:eastAsia="MS Gothic"/>
                      <w:b/>
                      <w:bCs/>
                      <w:lang w:val="en-US" w:eastAsia="en-US"/>
                    </w:rPr>
                  </w:pPr>
                  <w:proofErr w:type="spellStart"/>
                  <w:r w:rsidRPr="00826D10">
                    <w:rPr>
                      <w:rFonts w:eastAsia="MS Gothic"/>
                      <w:lang w:val="en-US" w:eastAsia="en-US"/>
                    </w:rPr>
                    <w:t>Trospium</w:t>
                  </w:r>
                  <w:proofErr w:type="spellEnd"/>
                  <w:r w:rsidRPr="00826D10">
                    <w:rPr>
                      <w:rFonts w:eastAsia="MS Gothic"/>
                      <w:lang w:val="en-US" w:eastAsia="en-US"/>
                    </w:rPr>
                    <w:t xml:space="preserve"> 20mg twice daily</w:t>
                  </w:r>
                </w:p>
              </w:tc>
              <w:tc>
                <w:tcPr>
                  <w:tcW w:w="2027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826D10" w:rsidRPr="00826D10" w:rsidRDefault="00826D10" w:rsidP="00826D10">
                  <w:pPr>
                    <w:rPr>
                      <w:bCs/>
                      <w:lang w:val="en-US" w:eastAsia="en-US"/>
                    </w:rPr>
                  </w:pPr>
                  <w:r w:rsidRPr="00826D10">
                    <w:rPr>
                      <w:bCs/>
                      <w:lang w:val="en-US" w:eastAsia="en-US"/>
                    </w:rPr>
                    <w:t>£23.93</w:t>
                  </w:r>
                </w:p>
              </w:tc>
            </w:tr>
            <w:tr w:rsidR="00826D10" w:rsidRPr="00826D10" w:rsidTr="00826D10">
              <w:tc>
                <w:tcPr>
                  <w:tcW w:w="2973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826D10" w:rsidRPr="00826D10" w:rsidRDefault="00826D10" w:rsidP="00826D10">
                  <w:pPr>
                    <w:rPr>
                      <w:rFonts w:eastAsia="MS Gothic"/>
                      <w:b/>
                      <w:bCs/>
                      <w:lang w:val="en-US" w:eastAsia="en-US"/>
                    </w:rPr>
                  </w:pPr>
                  <w:proofErr w:type="spellStart"/>
                  <w:r w:rsidRPr="00826D10">
                    <w:rPr>
                      <w:rFonts w:eastAsia="MS Gothic"/>
                      <w:lang w:val="en-US" w:eastAsia="en-US"/>
                    </w:rPr>
                    <w:t>Tolterodine</w:t>
                  </w:r>
                  <w:proofErr w:type="spellEnd"/>
                  <w:r w:rsidRPr="00826D10">
                    <w:rPr>
                      <w:rFonts w:eastAsia="MS Gothic"/>
                      <w:lang w:val="en-US" w:eastAsia="en-US"/>
                    </w:rPr>
                    <w:t xml:space="preserve"> XL 4mg daily</w:t>
                  </w:r>
                </w:p>
              </w:tc>
              <w:tc>
                <w:tcPr>
                  <w:tcW w:w="2027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826D10" w:rsidRPr="00826D10" w:rsidRDefault="00826D10" w:rsidP="00826D10">
                  <w:pPr>
                    <w:rPr>
                      <w:bCs/>
                      <w:lang w:val="en-US" w:eastAsia="en-US"/>
                    </w:rPr>
                  </w:pPr>
                  <w:r w:rsidRPr="00826D10">
                    <w:rPr>
                      <w:bCs/>
                      <w:lang w:val="en-US" w:eastAsia="en-US"/>
                    </w:rPr>
                    <w:t>£25.78</w:t>
                  </w:r>
                </w:p>
              </w:tc>
            </w:tr>
            <w:tr w:rsidR="00826D10" w:rsidRPr="00826D10" w:rsidTr="00826D10">
              <w:tc>
                <w:tcPr>
                  <w:tcW w:w="2973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auto"/>
                </w:tcPr>
                <w:p w:rsidR="00826D10" w:rsidRPr="00826D10" w:rsidRDefault="00826D10" w:rsidP="00826D10">
                  <w:pPr>
                    <w:rPr>
                      <w:rFonts w:eastAsia="MS Gothic"/>
                      <w:b/>
                      <w:bCs/>
                      <w:lang w:val="en-US" w:eastAsia="en-US"/>
                    </w:rPr>
                  </w:pPr>
                  <w:proofErr w:type="spellStart"/>
                  <w:r w:rsidRPr="00826D10">
                    <w:rPr>
                      <w:rFonts w:eastAsia="MS Gothic"/>
                      <w:lang w:val="en-US" w:eastAsia="en-US"/>
                    </w:rPr>
                    <w:t>Fesoterodine</w:t>
                  </w:r>
                  <w:proofErr w:type="spellEnd"/>
                  <w:r w:rsidRPr="00826D10">
                    <w:rPr>
                      <w:rFonts w:eastAsia="MS Gothic"/>
                      <w:lang w:val="en-US" w:eastAsia="en-US"/>
                    </w:rPr>
                    <w:t xml:space="preserve"> 4-8mg daily</w:t>
                  </w:r>
                </w:p>
              </w:tc>
              <w:tc>
                <w:tcPr>
                  <w:tcW w:w="2027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826D10" w:rsidRPr="00826D10" w:rsidRDefault="00826D10" w:rsidP="00826D10">
                  <w:pPr>
                    <w:rPr>
                      <w:bCs/>
                      <w:lang w:val="en-US" w:eastAsia="en-US"/>
                    </w:rPr>
                  </w:pPr>
                  <w:r w:rsidRPr="00826D10">
                    <w:rPr>
                      <w:bCs/>
                      <w:lang w:val="en-US" w:eastAsia="en-US"/>
                    </w:rPr>
                    <w:t>£25.78</w:t>
                  </w:r>
                </w:p>
              </w:tc>
            </w:tr>
            <w:tr w:rsidR="00826D10" w:rsidRPr="00826D10" w:rsidTr="00826D10">
              <w:tc>
                <w:tcPr>
                  <w:tcW w:w="2973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826D10" w:rsidRPr="00826D10" w:rsidRDefault="00826D10" w:rsidP="00826D10">
                  <w:pPr>
                    <w:rPr>
                      <w:rFonts w:eastAsia="MS Gothic"/>
                      <w:b/>
                      <w:bCs/>
                      <w:lang w:val="en-US" w:eastAsia="en-US"/>
                    </w:rPr>
                  </w:pPr>
                  <w:proofErr w:type="spellStart"/>
                  <w:r w:rsidRPr="00826D10">
                    <w:rPr>
                      <w:bCs/>
                      <w:lang w:val="en-US"/>
                    </w:rPr>
                    <w:t>Solifenacin</w:t>
                  </w:r>
                  <w:proofErr w:type="spellEnd"/>
                  <w:r w:rsidRPr="00826D10">
                    <w:rPr>
                      <w:bCs/>
                      <w:lang w:val="en-US"/>
                    </w:rPr>
                    <w:t xml:space="preserve"> 5-10mg  daily</w:t>
                  </w:r>
                </w:p>
              </w:tc>
              <w:tc>
                <w:tcPr>
                  <w:tcW w:w="2027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826D10" w:rsidRPr="00826D10" w:rsidRDefault="00826D10" w:rsidP="00826D10">
                  <w:pPr>
                    <w:rPr>
                      <w:bCs/>
                      <w:lang w:val="en-US" w:eastAsia="en-US"/>
                    </w:rPr>
                  </w:pPr>
                  <w:r w:rsidRPr="00826D10">
                    <w:rPr>
                      <w:bCs/>
                      <w:lang w:val="en-US"/>
                    </w:rPr>
                    <w:t>£25.78 - £33.52</w:t>
                  </w:r>
                </w:p>
              </w:tc>
            </w:tr>
            <w:tr w:rsidR="00826D10" w:rsidRPr="00826D10" w:rsidTr="00826D10">
              <w:tc>
                <w:tcPr>
                  <w:tcW w:w="2973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826D10" w:rsidRPr="00826D10" w:rsidRDefault="00826D10" w:rsidP="00826D10">
                  <w:pPr>
                    <w:rPr>
                      <w:bCs/>
                      <w:lang w:val="en-US"/>
                    </w:rPr>
                  </w:pPr>
                  <w:proofErr w:type="spellStart"/>
                  <w:r w:rsidRPr="00826D10">
                    <w:rPr>
                      <w:bCs/>
                      <w:lang w:val="en-US"/>
                    </w:rPr>
                    <w:t>Propiverine</w:t>
                  </w:r>
                  <w:proofErr w:type="spellEnd"/>
                  <w:r w:rsidRPr="00826D10">
                    <w:rPr>
                      <w:bCs/>
                      <w:lang w:val="en-US"/>
                    </w:rPr>
                    <w:t xml:space="preserve"> 15mg – 50mg daily</w:t>
                  </w:r>
                </w:p>
              </w:tc>
              <w:tc>
                <w:tcPr>
                  <w:tcW w:w="2027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826D10" w:rsidRPr="00826D10" w:rsidRDefault="00826D10" w:rsidP="00826D10">
                  <w:pPr>
                    <w:rPr>
                      <w:bCs/>
                      <w:lang w:val="en-US"/>
                    </w:rPr>
                  </w:pPr>
                  <w:r w:rsidRPr="00826D10">
                    <w:rPr>
                      <w:bCs/>
                      <w:lang w:val="en-US"/>
                    </w:rPr>
                    <w:t>£9.00 - £36.00</w:t>
                  </w:r>
                </w:p>
              </w:tc>
            </w:tr>
            <w:tr w:rsidR="00826D10" w:rsidRPr="00826D10" w:rsidTr="00826D10">
              <w:tc>
                <w:tcPr>
                  <w:tcW w:w="2973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826D10" w:rsidRPr="00826D10" w:rsidRDefault="00826D10" w:rsidP="00826D10">
                  <w:pPr>
                    <w:rPr>
                      <w:bCs/>
                      <w:lang w:val="en-US"/>
                    </w:rPr>
                  </w:pPr>
                  <w:proofErr w:type="spellStart"/>
                  <w:r w:rsidRPr="00826D10">
                    <w:rPr>
                      <w:bCs/>
                      <w:lang w:val="en-US"/>
                    </w:rPr>
                    <w:t>Propiverine</w:t>
                  </w:r>
                  <w:proofErr w:type="spellEnd"/>
                  <w:r w:rsidRPr="00826D10">
                    <w:rPr>
                      <w:bCs/>
                      <w:lang w:val="en-US"/>
                    </w:rPr>
                    <w:t xml:space="preserve"> MR 30mg daily</w:t>
                  </w:r>
                </w:p>
              </w:tc>
              <w:tc>
                <w:tcPr>
                  <w:tcW w:w="2027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826D10" w:rsidRPr="00826D10" w:rsidRDefault="00826D10" w:rsidP="00826D10">
                  <w:pPr>
                    <w:rPr>
                      <w:bCs/>
                      <w:lang w:val="en-US"/>
                    </w:rPr>
                  </w:pPr>
                  <w:r w:rsidRPr="00826D10">
                    <w:rPr>
                      <w:bCs/>
                      <w:lang w:val="en-US"/>
                    </w:rPr>
                    <w:t>£24.45</w:t>
                  </w:r>
                </w:p>
              </w:tc>
            </w:tr>
            <w:tr w:rsidR="00826D10" w:rsidRPr="00826D10" w:rsidTr="00826D10">
              <w:tc>
                <w:tcPr>
                  <w:tcW w:w="2973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auto"/>
                </w:tcPr>
                <w:p w:rsidR="00826D10" w:rsidRPr="00826D10" w:rsidRDefault="00826D10" w:rsidP="00826D10">
                  <w:pPr>
                    <w:rPr>
                      <w:b/>
                      <w:bCs/>
                      <w:lang w:val="en-US" w:eastAsia="en-US"/>
                    </w:rPr>
                  </w:pPr>
                  <w:proofErr w:type="spellStart"/>
                  <w:r w:rsidRPr="00826D10">
                    <w:rPr>
                      <w:rFonts w:eastAsia="MS Gothic"/>
                      <w:lang w:val="en-US" w:eastAsia="en-US"/>
                    </w:rPr>
                    <w:t>Darifenacin</w:t>
                  </w:r>
                  <w:proofErr w:type="spellEnd"/>
                  <w:r w:rsidRPr="00826D10">
                    <w:rPr>
                      <w:rFonts w:eastAsia="MS Gothic"/>
                      <w:lang w:val="en-US" w:eastAsia="en-US"/>
                    </w:rPr>
                    <w:t xml:space="preserve"> 7.5mg – 15mg daily</w:t>
                  </w:r>
                </w:p>
              </w:tc>
              <w:tc>
                <w:tcPr>
                  <w:tcW w:w="2027" w:type="pct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D3DFEE"/>
                </w:tcPr>
                <w:p w:rsidR="00826D10" w:rsidRPr="00826D10" w:rsidRDefault="00826D10" w:rsidP="00826D10">
                  <w:pPr>
                    <w:rPr>
                      <w:bCs/>
                      <w:lang w:val="en-US" w:eastAsia="en-US"/>
                    </w:rPr>
                  </w:pPr>
                  <w:r w:rsidRPr="00826D10">
                    <w:rPr>
                      <w:bCs/>
                      <w:lang w:val="en-US" w:eastAsia="en-US"/>
                    </w:rPr>
                    <w:t>£25.48 - £50.96</w:t>
                  </w:r>
                </w:p>
              </w:tc>
            </w:tr>
          </w:tbl>
          <w:p w:rsidR="00826D10" w:rsidRPr="00826D10" w:rsidRDefault="00826D10" w:rsidP="00826D1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513E32" w:rsidRDefault="00513E32" w:rsidP="00513E32">
      <w:pPr>
        <w:rPr>
          <w:rFonts w:ascii="Arial" w:hAnsi="Arial" w:cs="Arial"/>
          <w:b/>
          <w:i/>
        </w:rPr>
      </w:pPr>
    </w:p>
    <w:p w:rsidR="00513E32" w:rsidRDefault="00513E32" w:rsidP="00513E32">
      <w:pPr>
        <w:rPr>
          <w:rFonts w:ascii="Arial" w:hAnsi="Arial" w:cs="Arial"/>
          <w:b/>
          <w:i/>
        </w:rPr>
      </w:pPr>
    </w:p>
    <w:p w:rsidR="00356024" w:rsidRDefault="00356024" w:rsidP="00513E32">
      <w:pPr>
        <w:rPr>
          <w:rFonts w:ascii="Arial" w:hAnsi="Arial" w:cs="Arial"/>
          <w:b/>
          <w:i/>
        </w:rPr>
      </w:pPr>
    </w:p>
    <w:p w:rsidR="00B2718E" w:rsidRDefault="00B2718E" w:rsidP="00513E32">
      <w:pPr>
        <w:rPr>
          <w:rFonts w:ascii="Arial" w:hAnsi="Arial" w:cs="Arial"/>
          <w:b/>
          <w:i/>
        </w:rPr>
      </w:pPr>
    </w:p>
    <w:p w:rsidR="00B2718E" w:rsidRDefault="00B2718E" w:rsidP="00513E32">
      <w:pPr>
        <w:rPr>
          <w:rFonts w:ascii="Arial" w:hAnsi="Arial" w:cs="Arial"/>
          <w:b/>
          <w:i/>
        </w:rPr>
      </w:pPr>
    </w:p>
    <w:p w:rsidR="00B2718E" w:rsidRPr="0064696F" w:rsidRDefault="00B2718E" w:rsidP="00513E32">
      <w:pPr>
        <w:rPr>
          <w:rFonts w:ascii="Arial" w:hAnsi="Arial"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13E32" w:rsidRPr="00431859" w:rsidTr="00F00C96">
        <w:trPr>
          <w:trHeight w:val="324"/>
        </w:trPr>
        <w:tc>
          <w:tcPr>
            <w:tcW w:w="8522" w:type="dxa"/>
          </w:tcPr>
          <w:p w:rsidR="00513E32" w:rsidRPr="00E20FEF" w:rsidRDefault="00513E32" w:rsidP="00F00C96">
            <w:pPr>
              <w:rPr>
                <w:rFonts w:ascii="Arial" w:hAnsi="Arial" w:cs="Arial"/>
                <w:b/>
              </w:rPr>
            </w:pPr>
            <w:r w:rsidRPr="00E20FEF">
              <w:rPr>
                <w:rFonts w:ascii="Arial" w:hAnsi="Arial" w:cs="Arial"/>
                <w:b/>
              </w:rPr>
              <w:t>ADDITIONAL MONITORING REQUIRED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13E32" w:rsidRPr="00826D10" w:rsidTr="00F00C96">
        <w:trPr>
          <w:trHeight w:val="1246"/>
        </w:trPr>
        <w:tc>
          <w:tcPr>
            <w:tcW w:w="8522" w:type="dxa"/>
          </w:tcPr>
          <w:p w:rsidR="00513E32" w:rsidRPr="00826D10" w:rsidRDefault="00513E32" w:rsidP="00F00C96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i/>
              </w:rPr>
            </w:pPr>
          </w:p>
          <w:p w:rsidR="00513E32" w:rsidRPr="00826D10" w:rsidRDefault="00824189" w:rsidP="00F00C9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>Review patients who are switched after 4 weeks to ensure efficacy and adverse effects</w:t>
            </w:r>
          </w:p>
        </w:tc>
      </w:tr>
    </w:tbl>
    <w:p w:rsidR="00513E32" w:rsidRPr="00826D10" w:rsidRDefault="00513E32" w:rsidP="003B08B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13E32" w:rsidRPr="00826D10" w:rsidTr="00F00C96">
        <w:trPr>
          <w:trHeight w:val="324"/>
        </w:trPr>
        <w:tc>
          <w:tcPr>
            <w:tcW w:w="8522" w:type="dxa"/>
          </w:tcPr>
          <w:p w:rsidR="00513E32" w:rsidRPr="00826D10" w:rsidRDefault="00513E32" w:rsidP="00F00C96">
            <w:pPr>
              <w:rPr>
                <w:rFonts w:ascii="Arial" w:hAnsi="Arial" w:cs="Arial"/>
                <w:b/>
              </w:rPr>
            </w:pPr>
            <w:r w:rsidRPr="00826D10">
              <w:rPr>
                <w:rFonts w:ascii="Arial" w:hAnsi="Arial" w:cs="Arial"/>
                <w:b/>
              </w:rPr>
              <w:t>PATIENT SEARCH</w:t>
            </w:r>
          </w:p>
        </w:tc>
      </w:tr>
      <w:tr w:rsidR="00513E32" w:rsidRPr="00826D10" w:rsidTr="00F00C96">
        <w:trPr>
          <w:trHeight w:val="1246"/>
        </w:trPr>
        <w:tc>
          <w:tcPr>
            <w:tcW w:w="8522" w:type="dxa"/>
          </w:tcPr>
          <w:p w:rsidR="00513E32" w:rsidRPr="00826D10" w:rsidRDefault="00513E32" w:rsidP="00F00C9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i/>
              </w:rPr>
            </w:pPr>
          </w:p>
          <w:p w:rsidR="00513E32" w:rsidRPr="00826D10" w:rsidRDefault="00513E32" w:rsidP="00F00C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 xml:space="preserve">Identify all patients currently prescribed </w:t>
            </w:r>
            <w:r w:rsidR="00824189" w:rsidRPr="00826D10">
              <w:rPr>
                <w:rFonts w:ascii="Arial" w:hAnsi="Arial" w:cs="Arial"/>
                <w:sz w:val="22"/>
                <w:szCs w:val="22"/>
              </w:rPr>
              <w:t>drugs for urinary frequency, enuresis and incontinence BNF 7.4.2</w:t>
            </w:r>
          </w:p>
          <w:p w:rsidR="00513E32" w:rsidRDefault="00513E32" w:rsidP="00F00C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 xml:space="preserve">Exclude the following drugs:  </w:t>
            </w:r>
            <w:r w:rsidR="00824189" w:rsidRPr="00826D10">
              <w:rPr>
                <w:rFonts w:ascii="Arial" w:hAnsi="Arial" w:cs="Arial"/>
                <w:sz w:val="22"/>
                <w:szCs w:val="22"/>
              </w:rPr>
              <w:t xml:space="preserve">duloxetine, oxybutynin immediate release, </w:t>
            </w:r>
            <w:proofErr w:type="spellStart"/>
            <w:r w:rsidR="00824189" w:rsidRPr="00826D10">
              <w:rPr>
                <w:rFonts w:ascii="Arial" w:hAnsi="Arial" w:cs="Arial"/>
                <w:sz w:val="22"/>
                <w:szCs w:val="22"/>
              </w:rPr>
              <w:t>tolterodine</w:t>
            </w:r>
            <w:proofErr w:type="spellEnd"/>
            <w:r w:rsidR="00824189" w:rsidRPr="00826D10">
              <w:rPr>
                <w:rFonts w:ascii="Arial" w:hAnsi="Arial" w:cs="Arial"/>
                <w:sz w:val="22"/>
                <w:szCs w:val="22"/>
              </w:rPr>
              <w:t xml:space="preserve"> immediate release.</w:t>
            </w:r>
          </w:p>
          <w:p w:rsidR="00513E32" w:rsidRPr="00826D10" w:rsidRDefault="00513E32" w:rsidP="00F00C9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513E32" w:rsidRPr="00826D10" w:rsidRDefault="00513E32" w:rsidP="00F00C9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826D10">
              <w:rPr>
                <w:rFonts w:ascii="Arial" w:hAnsi="Arial" w:cs="Arial"/>
                <w:b/>
                <w:sz w:val="22"/>
                <w:szCs w:val="22"/>
              </w:rPr>
              <w:t>Include</w:t>
            </w:r>
          </w:p>
          <w:p w:rsidR="00513E32" w:rsidRPr="00826D10" w:rsidRDefault="00513E32" w:rsidP="00F00C9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>acute/repeat drugs</w:t>
            </w:r>
          </w:p>
          <w:p w:rsidR="00513E32" w:rsidRPr="00826D10" w:rsidRDefault="00513E32" w:rsidP="00F00C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>Past /present drugs</w:t>
            </w:r>
          </w:p>
          <w:p w:rsidR="00513E32" w:rsidRPr="00826D10" w:rsidRDefault="00513E32" w:rsidP="00F00C9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513E32" w:rsidRPr="00826D10" w:rsidRDefault="00513E32" w:rsidP="00F00C9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826D10">
              <w:rPr>
                <w:rFonts w:ascii="Arial" w:hAnsi="Arial" w:cs="Arial"/>
                <w:b/>
                <w:sz w:val="22"/>
                <w:szCs w:val="22"/>
              </w:rPr>
              <w:t>Consider</w:t>
            </w:r>
          </w:p>
          <w:p w:rsidR="00513E32" w:rsidRPr="00826D10" w:rsidRDefault="00513E32" w:rsidP="00F00C9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>Documented recommendations</w:t>
            </w:r>
          </w:p>
          <w:p w:rsidR="00513E32" w:rsidRPr="00826D10" w:rsidRDefault="00513E32" w:rsidP="00F00C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>Documented patient preference</w:t>
            </w:r>
          </w:p>
          <w:p w:rsidR="00071FCF" w:rsidRPr="00826D10" w:rsidRDefault="00513E32" w:rsidP="00071FC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>Age/mental capacity/disease burden/compliance/other issues which may affect whether a switch is carried out or not</w:t>
            </w:r>
            <w:r w:rsidR="00071FCF" w:rsidRPr="00826D10">
              <w:rPr>
                <w:rFonts w:ascii="Arial" w:hAnsi="Arial" w:cs="Arial"/>
                <w:sz w:val="22"/>
                <w:szCs w:val="22"/>
              </w:rPr>
              <w:t>. Patients with learning disability.</w:t>
            </w:r>
          </w:p>
          <w:p w:rsidR="0068521A" w:rsidRDefault="00D10D1A" w:rsidP="00F00C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>Allergies</w:t>
            </w:r>
          </w:p>
          <w:p w:rsidR="005A7660" w:rsidRPr="00826D10" w:rsidRDefault="005A7660" w:rsidP="00F00C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Patients especially the elderly or frail who are on other medications which contribute to the total anticholinergic burden. See Appendix 1 for a list of medications with anticholinergic prop</w:t>
            </w:r>
            <w:r w:rsidR="00F46B1F">
              <w:rPr>
                <w:rFonts w:ascii="Arial" w:hAnsi="Arial" w:cs="Arial"/>
                <w:sz w:val="22"/>
                <w:szCs w:val="22"/>
              </w:rPr>
              <w:t xml:space="preserve">erties. If a patient is on </w:t>
            </w:r>
            <w:r>
              <w:rPr>
                <w:rFonts w:ascii="Arial" w:hAnsi="Arial" w:cs="Arial"/>
                <w:sz w:val="22"/>
                <w:szCs w:val="22"/>
              </w:rPr>
              <w:t>more than one agent that contributes to the anticholinergic burden the prescribing adviser should be consulted before proceeding. If an elderly or frail patient has a high total anticholinergic burden it may be appropriate to refer back to the GP for a medication review.</w:t>
            </w:r>
          </w:p>
          <w:p w:rsidR="00513E32" w:rsidRPr="00826D10" w:rsidRDefault="00513E32" w:rsidP="00F00C96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513E32" w:rsidRPr="00826D10" w:rsidRDefault="00513E32" w:rsidP="00F00C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26D10">
              <w:rPr>
                <w:rFonts w:ascii="Arial" w:hAnsi="Arial" w:cs="Arial"/>
                <w:b/>
                <w:sz w:val="22"/>
                <w:szCs w:val="22"/>
              </w:rPr>
              <w:t xml:space="preserve">      Exclude </w:t>
            </w:r>
          </w:p>
          <w:p w:rsidR="00513E32" w:rsidRPr="00826D10" w:rsidRDefault="00513E32" w:rsidP="00F00C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 xml:space="preserve">patients who have previously been prescribed </w:t>
            </w:r>
            <w:proofErr w:type="spellStart"/>
            <w:r w:rsidR="00E1664B" w:rsidRPr="00826D10">
              <w:rPr>
                <w:rFonts w:ascii="Arial" w:hAnsi="Arial" w:cs="Arial"/>
                <w:sz w:val="22"/>
                <w:szCs w:val="22"/>
              </w:rPr>
              <w:t>tolterodine</w:t>
            </w:r>
            <w:proofErr w:type="spellEnd"/>
            <w:r w:rsidR="00E1664B" w:rsidRPr="00826D10">
              <w:rPr>
                <w:rFonts w:ascii="Arial" w:hAnsi="Arial" w:cs="Arial"/>
                <w:sz w:val="22"/>
                <w:szCs w:val="22"/>
              </w:rPr>
              <w:t xml:space="preserve"> IR </w:t>
            </w:r>
            <w:r w:rsidR="00E1664B" w:rsidRPr="00BF760D">
              <w:rPr>
                <w:rFonts w:ascii="Arial" w:hAnsi="Arial" w:cs="Arial"/>
                <w:sz w:val="22"/>
                <w:szCs w:val="22"/>
                <w:u w:val="single"/>
              </w:rPr>
              <w:t>and</w:t>
            </w:r>
            <w:r w:rsidR="00BF760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1664B" w:rsidRPr="00BF760D">
              <w:rPr>
                <w:rFonts w:ascii="Arial" w:hAnsi="Arial" w:cs="Arial"/>
                <w:sz w:val="22"/>
                <w:szCs w:val="22"/>
              </w:rPr>
              <w:t>Neditol</w:t>
            </w:r>
            <w:proofErr w:type="spellEnd"/>
            <w:r w:rsidRPr="00826D10">
              <w:rPr>
                <w:rFonts w:ascii="Arial" w:hAnsi="Arial" w:cs="Arial"/>
                <w:sz w:val="22"/>
                <w:szCs w:val="22"/>
              </w:rPr>
              <w:t xml:space="preserve"> if ineffective</w:t>
            </w:r>
          </w:p>
          <w:p w:rsidR="00513E32" w:rsidRPr="00826D10" w:rsidRDefault="00513E32" w:rsidP="00F00C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>Patients with adverse drug reac</w:t>
            </w:r>
            <w:r w:rsidR="00341AAE">
              <w:rPr>
                <w:rFonts w:ascii="Arial" w:hAnsi="Arial" w:cs="Arial"/>
                <w:sz w:val="22"/>
                <w:szCs w:val="22"/>
              </w:rPr>
              <w:t>tion/sensitivity/allergy to</w:t>
            </w:r>
            <w:r w:rsidR="00E1664B" w:rsidRPr="00826D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1664B" w:rsidRPr="00826D10">
              <w:rPr>
                <w:rFonts w:ascii="Arial" w:hAnsi="Arial" w:cs="Arial"/>
                <w:sz w:val="22"/>
                <w:szCs w:val="22"/>
              </w:rPr>
              <w:t>tolterodine</w:t>
            </w:r>
            <w:proofErr w:type="spellEnd"/>
            <w:r w:rsidR="00E1664B" w:rsidRPr="00826D10">
              <w:rPr>
                <w:rFonts w:ascii="Arial" w:hAnsi="Arial" w:cs="Arial"/>
                <w:sz w:val="22"/>
                <w:szCs w:val="22"/>
              </w:rPr>
              <w:t xml:space="preserve"> IR or </w:t>
            </w:r>
            <w:proofErr w:type="spellStart"/>
            <w:r w:rsidR="00E1664B" w:rsidRPr="00826D10">
              <w:rPr>
                <w:rFonts w:ascii="Arial" w:hAnsi="Arial" w:cs="Arial"/>
                <w:sz w:val="22"/>
                <w:szCs w:val="22"/>
              </w:rPr>
              <w:t>Neditol</w:t>
            </w:r>
            <w:proofErr w:type="spellEnd"/>
            <w:r w:rsidR="00E1664B" w:rsidRPr="00826D10">
              <w:rPr>
                <w:rFonts w:ascii="Arial" w:hAnsi="Arial" w:cs="Arial"/>
                <w:sz w:val="22"/>
                <w:szCs w:val="22"/>
              </w:rPr>
              <w:t xml:space="preserve"> as appropriate.</w:t>
            </w:r>
          </w:p>
          <w:p w:rsidR="0038126E" w:rsidRDefault="00E1664B" w:rsidP="00F00C9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>Patients under 18 years</w:t>
            </w:r>
            <w:r w:rsidR="00513E32" w:rsidRPr="00826D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8126E" w:rsidRPr="00826D10" w:rsidRDefault="0038126E" w:rsidP="0038126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Patients with 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eGFR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&lt;30 or CKD 4 or 5 (refer to prescribing adviser as switching to a lower dose may be possible</w:t>
            </w:r>
            <w:r w:rsidR="00FD5889">
              <w:rPr>
                <w:rFonts w:ascii="Arial" w:hAnsi="Arial" w:cs="Arial"/>
                <w:sz w:val="22"/>
                <w:szCs w:val="22"/>
              </w:rPr>
              <w:t xml:space="preserve"> – text in Local Variation below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7C4C2D" w:rsidRPr="00826D10" w:rsidRDefault="00513E32" w:rsidP="00FD5889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7C4C2D" w:rsidRPr="00826D10" w:rsidRDefault="007C4C2D" w:rsidP="007C4C2D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513E32" w:rsidRPr="00826D10" w:rsidRDefault="007C4C2D" w:rsidP="007C4C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826D10">
              <w:rPr>
                <w:rFonts w:ascii="Arial" w:hAnsi="Arial" w:cs="Arial"/>
                <w:b/>
                <w:sz w:val="22"/>
                <w:szCs w:val="22"/>
              </w:rPr>
              <w:t>Cautions</w:t>
            </w:r>
          </w:p>
          <w:p w:rsidR="00201F54" w:rsidRPr="00826D10" w:rsidRDefault="00201F54" w:rsidP="00201F5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>Patients currently prescribed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itraconazole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or</w:t>
            </w:r>
            <w:r w:rsidRPr="00826D10">
              <w:rPr>
                <w:rFonts w:ascii="Arial" w:hAnsi="Arial" w:cs="Arial"/>
                <w:sz w:val="22"/>
                <w:szCs w:val="22"/>
              </w:rPr>
              <w:t xml:space="preserve"> HIV protease inhibitors.</w:t>
            </w:r>
          </w:p>
          <w:p w:rsidR="00513E32" w:rsidRPr="00826D10" w:rsidRDefault="007C4C2D" w:rsidP="004E04F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04F0">
              <w:rPr>
                <w:rFonts w:ascii="Arial" w:hAnsi="Arial" w:cs="Arial"/>
                <w:sz w:val="22"/>
                <w:szCs w:val="22"/>
              </w:rPr>
              <w:t xml:space="preserve">Patients with following disease </w:t>
            </w:r>
            <w:r w:rsidR="00F46B1F" w:rsidRPr="004E04F0">
              <w:rPr>
                <w:rFonts w:ascii="Arial" w:hAnsi="Arial" w:cs="Arial"/>
                <w:sz w:val="22"/>
                <w:szCs w:val="22"/>
              </w:rPr>
              <w:t>states myasthenia gravis, closed</w:t>
            </w:r>
            <w:r w:rsidRPr="004E04F0">
              <w:rPr>
                <w:rFonts w:ascii="Arial" w:hAnsi="Arial" w:cs="Arial"/>
                <w:sz w:val="22"/>
                <w:szCs w:val="22"/>
              </w:rPr>
              <w:t xml:space="preserve"> angle glaucoma</w:t>
            </w:r>
            <w:r w:rsidR="00F46B1F" w:rsidRPr="004E04F0">
              <w:rPr>
                <w:rFonts w:ascii="Arial" w:hAnsi="Arial" w:cs="Arial"/>
                <w:sz w:val="22"/>
                <w:szCs w:val="22"/>
              </w:rPr>
              <w:t>, ulcerative colitis</w:t>
            </w:r>
            <w:r w:rsidR="004A1EBC" w:rsidRPr="004E04F0">
              <w:rPr>
                <w:rFonts w:ascii="Arial" w:hAnsi="Arial" w:cs="Arial"/>
                <w:sz w:val="22"/>
                <w:szCs w:val="22"/>
              </w:rPr>
              <w:t>, intestinal</w:t>
            </w:r>
            <w:r w:rsidRPr="004E04F0">
              <w:rPr>
                <w:rFonts w:ascii="Arial" w:hAnsi="Arial" w:cs="Arial"/>
                <w:sz w:val="22"/>
                <w:szCs w:val="22"/>
              </w:rPr>
              <w:t xml:space="preserve"> obstruction, history of QT prolongation. If any patients with these conditions appear on the search refer to prescribing adviser</w:t>
            </w:r>
            <w:r w:rsidR="00871284" w:rsidRPr="004E04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B2718E" w:rsidRDefault="00B2718E" w:rsidP="003B08B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13E32" w:rsidRPr="00431859" w:rsidTr="00F00C96">
        <w:trPr>
          <w:trHeight w:val="324"/>
        </w:trPr>
        <w:tc>
          <w:tcPr>
            <w:tcW w:w="8522" w:type="dxa"/>
          </w:tcPr>
          <w:p w:rsidR="00513E32" w:rsidRDefault="00513E32" w:rsidP="00F00C96">
            <w:pPr>
              <w:pStyle w:val="Heading5"/>
            </w:pPr>
            <w:r>
              <w:t>PREPARE SUGGESTION SHEETS FOR GPS TO AUTHORISE</w:t>
            </w:r>
          </w:p>
        </w:tc>
      </w:tr>
      <w:tr w:rsidR="00513E32" w:rsidRPr="00431859" w:rsidTr="00F00C96">
        <w:trPr>
          <w:trHeight w:val="1246"/>
        </w:trPr>
        <w:tc>
          <w:tcPr>
            <w:tcW w:w="8522" w:type="dxa"/>
          </w:tcPr>
          <w:p w:rsidR="00513E32" w:rsidRPr="00481130" w:rsidRDefault="00513E32" w:rsidP="004E04F0">
            <w:pPr>
              <w:pStyle w:val="BodyText3"/>
              <w:numPr>
                <w:ilvl w:val="0"/>
                <w:numId w:val="6"/>
              </w:numPr>
              <w:spacing w:line="240" w:lineRule="auto"/>
            </w:pPr>
            <w:r w:rsidRPr="00DF5DE1">
              <w:rPr>
                <w:sz w:val="22"/>
                <w:szCs w:val="22"/>
              </w:rPr>
              <w:t xml:space="preserve">Suggestion sheets of appropriate patients should be prepared and passed to the GPs for authorisation. The GP practice may delegate this responsibility to a single GP to streamline the process. </w:t>
            </w:r>
            <w:r w:rsidR="00C0297B">
              <w:rPr>
                <w:sz w:val="22"/>
                <w:szCs w:val="22"/>
              </w:rPr>
              <w:t>As this is a complex switch it may be helpful to agree general principles with each pract</w:t>
            </w:r>
            <w:r w:rsidR="00B2718E">
              <w:rPr>
                <w:sz w:val="22"/>
                <w:szCs w:val="22"/>
              </w:rPr>
              <w:t>ice before preparing suggestion</w:t>
            </w:r>
            <w:r w:rsidR="00C0297B">
              <w:rPr>
                <w:sz w:val="22"/>
                <w:szCs w:val="22"/>
              </w:rPr>
              <w:t xml:space="preserve"> sheets.</w:t>
            </w:r>
          </w:p>
        </w:tc>
      </w:tr>
    </w:tbl>
    <w:p w:rsidR="00513E32" w:rsidRDefault="00513E32" w:rsidP="00513E3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13E32" w:rsidRPr="00580751" w:rsidTr="00580751">
        <w:tc>
          <w:tcPr>
            <w:tcW w:w="8522" w:type="dxa"/>
          </w:tcPr>
          <w:p w:rsidR="00513E32" w:rsidRPr="00580751" w:rsidRDefault="00513E32" w:rsidP="00F00C96">
            <w:pPr>
              <w:rPr>
                <w:rFonts w:ascii="Arial" w:hAnsi="Arial" w:cs="Arial"/>
                <w:b/>
              </w:rPr>
            </w:pPr>
            <w:r w:rsidRPr="00580751">
              <w:rPr>
                <w:rFonts w:ascii="Arial" w:hAnsi="Arial" w:cs="Arial"/>
                <w:b/>
              </w:rPr>
              <w:t>CARRY OUT SWITCH ON CLINICAL SYSTEM</w:t>
            </w:r>
          </w:p>
        </w:tc>
      </w:tr>
      <w:tr w:rsidR="00513E32" w:rsidRPr="00580751" w:rsidTr="00580751">
        <w:tc>
          <w:tcPr>
            <w:tcW w:w="8522" w:type="dxa"/>
          </w:tcPr>
          <w:p w:rsidR="00513E32" w:rsidRPr="00580751" w:rsidRDefault="00513E32" w:rsidP="0058075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80751">
              <w:rPr>
                <w:rFonts w:ascii="Arial" w:hAnsi="Arial" w:cs="Arial"/>
                <w:sz w:val="22"/>
                <w:szCs w:val="22"/>
              </w:rPr>
              <w:t>The above switch should be carried out following a clearly defined process within the GP Clinical System.</w:t>
            </w:r>
          </w:p>
          <w:p w:rsidR="00513E32" w:rsidRPr="00580751" w:rsidRDefault="00513E32" w:rsidP="0058075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513E32" w:rsidRPr="00580751" w:rsidRDefault="00513E32" w:rsidP="00580751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80751">
              <w:rPr>
                <w:rFonts w:ascii="Arial" w:hAnsi="Arial" w:cs="Arial"/>
                <w:sz w:val="22"/>
                <w:szCs w:val="22"/>
              </w:rPr>
              <w:t xml:space="preserve">Revisit patient clinical history to ensure no exclusion criteria has changed or any changes have been made to the original drug.  If there </w:t>
            </w:r>
            <w:proofErr w:type="gramStart"/>
            <w:r w:rsidRPr="00580751">
              <w:rPr>
                <w:rFonts w:ascii="Arial" w:hAnsi="Arial" w:cs="Arial"/>
                <w:sz w:val="22"/>
                <w:szCs w:val="22"/>
              </w:rPr>
              <w:t>has been any changes</w:t>
            </w:r>
            <w:proofErr w:type="gramEnd"/>
            <w:r w:rsidRPr="00580751">
              <w:rPr>
                <w:rFonts w:ascii="Arial" w:hAnsi="Arial" w:cs="Arial"/>
                <w:sz w:val="22"/>
                <w:szCs w:val="22"/>
              </w:rPr>
              <w:t xml:space="preserve"> to the original drug, this must be resubmitted to the GP, where appropriate.  </w:t>
            </w:r>
          </w:p>
          <w:p w:rsidR="00513E32" w:rsidRPr="00580751" w:rsidRDefault="00513E32" w:rsidP="00580751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80751">
              <w:rPr>
                <w:rFonts w:ascii="Arial" w:hAnsi="Arial" w:cs="Arial"/>
                <w:sz w:val="22"/>
                <w:szCs w:val="22"/>
              </w:rPr>
              <w:t>Add new drug/dose</w:t>
            </w:r>
          </w:p>
          <w:p w:rsidR="00513E32" w:rsidRPr="00580751" w:rsidRDefault="00513E32" w:rsidP="00580751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80751">
              <w:rPr>
                <w:rFonts w:ascii="Arial" w:hAnsi="Arial" w:cs="Arial"/>
                <w:sz w:val="22"/>
                <w:szCs w:val="22"/>
              </w:rPr>
              <w:t>Delete original drug/dose</w:t>
            </w:r>
          </w:p>
          <w:p w:rsidR="00513E32" w:rsidRDefault="00513E32" w:rsidP="00580751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80751">
              <w:rPr>
                <w:rFonts w:ascii="Arial" w:hAnsi="Arial" w:cs="Arial"/>
                <w:sz w:val="22"/>
                <w:szCs w:val="22"/>
              </w:rPr>
              <w:t>Use dose equivalents as detailed above.</w:t>
            </w:r>
          </w:p>
          <w:p w:rsidR="00A64793" w:rsidRPr="005A7660" w:rsidRDefault="00A64793" w:rsidP="00580751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5A7660">
              <w:rPr>
                <w:rFonts w:ascii="Arial" w:hAnsi="Arial" w:cs="Arial"/>
                <w:b/>
                <w:sz w:val="22"/>
                <w:szCs w:val="22"/>
              </w:rPr>
              <w:t xml:space="preserve">For </w:t>
            </w:r>
            <w:proofErr w:type="spellStart"/>
            <w:r w:rsidRPr="005A7660">
              <w:rPr>
                <w:rFonts w:ascii="Arial" w:hAnsi="Arial" w:cs="Arial"/>
                <w:b/>
                <w:sz w:val="22"/>
                <w:szCs w:val="22"/>
              </w:rPr>
              <w:t>solifenacin</w:t>
            </w:r>
            <w:proofErr w:type="spellEnd"/>
            <w:r w:rsidRPr="005A7660">
              <w:rPr>
                <w:rFonts w:ascii="Arial" w:hAnsi="Arial" w:cs="Arial"/>
                <w:b/>
                <w:sz w:val="22"/>
                <w:szCs w:val="22"/>
              </w:rPr>
              <w:t xml:space="preserve"> only the patient should wait 1 week from stopping </w:t>
            </w:r>
            <w:proofErr w:type="spellStart"/>
            <w:r w:rsidRPr="005A7660">
              <w:rPr>
                <w:rFonts w:ascii="Arial" w:hAnsi="Arial" w:cs="Arial"/>
                <w:b/>
                <w:sz w:val="22"/>
                <w:szCs w:val="22"/>
              </w:rPr>
              <w:t>solifenacin</w:t>
            </w:r>
            <w:proofErr w:type="spellEnd"/>
            <w:r w:rsidRPr="005A7660">
              <w:rPr>
                <w:rFonts w:ascii="Arial" w:hAnsi="Arial" w:cs="Arial"/>
                <w:b/>
                <w:sz w:val="22"/>
                <w:szCs w:val="22"/>
              </w:rPr>
              <w:t xml:space="preserve"> to starting their new drug. This is due to the long </w:t>
            </w:r>
            <w:proofErr w:type="spellStart"/>
            <w:r w:rsidRPr="005A7660">
              <w:rPr>
                <w:rFonts w:ascii="Arial" w:hAnsi="Arial" w:cs="Arial"/>
                <w:b/>
                <w:sz w:val="22"/>
                <w:szCs w:val="22"/>
              </w:rPr>
              <w:t>half life</w:t>
            </w:r>
            <w:proofErr w:type="spellEnd"/>
            <w:r w:rsidRPr="005A7660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proofErr w:type="spellStart"/>
            <w:r w:rsidRPr="005A7660">
              <w:rPr>
                <w:rFonts w:ascii="Arial" w:hAnsi="Arial" w:cs="Arial"/>
                <w:b/>
                <w:sz w:val="22"/>
                <w:szCs w:val="22"/>
              </w:rPr>
              <w:t>solifenacin</w:t>
            </w:r>
            <w:proofErr w:type="spellEnd"/>
            <w:r w:rsidRPr="005A7660">
              <w:rPr>
                <w:rFonts w:ascii="Arial" w:hAnsi="Arial" w:cs="Arial"/>
                <w:b/>
                <w:sz w:val="22"/>
                <w:szCs w:val="22"/>
              </w:rPr>
              <w:t xml:space="preserve"> in the body.</w:t>
            </w:r>
          </w:p>
          <w:p w:rsidR="00513E32" w:rsidRPr="00580751" w:rsidRDefault="00513E32" w:rsidP="0058075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580751">
              <w:rPr>
                <w:rFonts w:ascii="Arial" w:hAnsi="Arial" w:cs="Arial"/>
                <w:sz w:val="22"/>
                <w:szCs w:val="22"/>
              </w:rPr>
              <w:t>Consider review dates and number of issues as agreed by individual practice</w:t>
            </w:r>
          </w:p>
          <w:p w:rsidR="00513E32" w:rsidRPr="00580751" w:rsidRDefault="00513E32" w:rsidP="0058075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580751">
              <w:rPr>
                <w:rFonts w:ascii="Arial" w:hAnsi="Arial" w:cs="Arial"/>
                <w:sz w:val="22"/>
                <w:szCs w:val="22"/>
              </w:rPr>
              <w:t>Add Read code/problem link if appropriate</w:t>
            </w:r>
          </w:p>
          <w:p w:rsidR="00513E32" w:rsidRPr="00580751" w:rsidRDefault="00513E32" w:rsidP="0058075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580751">
              <w:rPr>
                <w:rFonts w:ascii="Arial" w:hAnsi="Arial" w:cs="Arial"/>
                <w:sz w:val="22"/>
                <w:szCs w:val="22"/>
              </w:rPr>
              <w:t xml:space="preserve">A record of the switch should be saved in the patient’s electronic records as agreed by the individual practice. </w:t>
            </w:r>
          </w:p>
          <w:p w:rsidR="00513E32" w:rsidRPr="00580751" w:rsidRDefault="00513E32" w:rsidP="0058075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D4310" w:rsidRDefault="003D4310" w:rsidP="003B08B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13E32" w:rsidRPr="00431859" w:rsidTr="00F00C96">
        <w:trPr>
          <w:trHeight w:val="324"/>
        </w:trPr>
        <w:tc>
          <w:tcPr>
            <w:tcW w:w="8522" w:type="dxa"/>
          </w:tcPr>
          <w:p w:rsidR="00513E32" w:rsidRPr="00431859" w:rsidRDefault="00513E32" w:rsidP="00F00C96">
            <w:pPr>
              <w:rPr>
                <w:rFonts w:ascii="Arial" w:hAnsi="Arial" w:cs="Arial"/>
                <w:b/>
              </w:rPr>
            </w:pPr>
            <w:r w:rsidRPr="00431859">
              <w:rPr>
                <w:rFonts w:ascii="Arial" w:hAnsi="Arial" w:cs="Arial"/>
                <w:b/>
              </w:rPr>
              <w:t>PREPARE LETTER FOR PATIENT IF REQUIRED</w:t>
            </w:r>
          </w:p>
        </w:tc>
      </w:tr>
      <w:tr w:rsidR="00513E32" w:rsidRPr="00431859" w:rsidTr="00F00C96">
        <w:trPr>
          <w:trHeight w:val="1246"/>
        </w:trPr>
        <w:tc>
          <w:tcPr>
            <w:tcW w:w="8522" w:type="dxa"/>
          </w:tcPr>
          <w:p w:rsidR="00513E32" w:rsidRPr="00DF5DE1" w:rsidRDefault="00513E32" w:rsidP="00F00C96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DE1">
              <w:rPr>
                <w:rFonts w:ascii="Arial" w:hAnsi="Arial" w:cs="Arial"/>
                <w:sz w:val="22"/>
                <w:szCs w:val="22"/>
              </w:rPr>
              <w:t>A copy of the</w:t>
            </w:r>
            <w:r w:rsidR="00201F54">
              <w:rPr>
                <w:rFonts w:ascii="Arial" w:hAnsi="Arial" w:cs="Arial"/>
                <w:sz w:val="22"/>
                <w:szCs w:val="22"/>
              </w:rPr>
              <w:t xml:space="preserve"> appropriate</w:t>
            </w:r>
            <w:r w:rsidRPr="00DF5DE1">
              <w:rPr>
                <w:rFonts w:ascii="Arial" w:hAnsi="Arial" w:cs="Arial"/>
                <w:sz w:val="22"/>
                <w:szCs w:val="22"/>
              </w:rPr>
              <w:t xml:space="preserve"> letter attached to this SOP should be sent to the patient when the switch is carried out.</w:t>
            </w:r>
          </w:p>
          <w:p w:rsidR="00513E32" w:rsidRPr="00DF5DE1" w:rsidRDefault="00513E32" w:rsidP="00F00C96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DE1">
              <w:rPr>
                <w:rFonts w:ascii="Arial" w:hAnsi="Arial" w:cs="Arial"/>
                <w:sz w:val="22"/>
                <w:szCs w:val="22"/>
              </w:rPr>
              <w:t>If practice policy, the right hand side of the repeat prescription may be printed and sent to the patient with the letter.</w:t>
            </w:r>
          </w:p>
          <w:p w:rsidR="00513E32" w:rsidRPr="00DF5DE1" w:rsidRDefault="00513E32" w:rsidP="00F00C96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DE1">
              <w:rPr>
                <w:rFonts w:ascii="Arial" w:hAnsi="Arial" w:cs="Arial"/>
                <w:sz w:val="22"/>
                <w:szCs w:val="22"/>
              </w:rPr>
              <w:t>A copy of this letter should be saved in the patient’s electronic record.</w:t>
            </w:r>
          </w:p>
          <w:p w:rsidR="00513E32" w:rsidRPr="00DF5DE1" w:rsidRDefault="00513E32" w:rsidP="00F00C96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5DE1">
              <w:rPr>
                <w:rFonts w:ascii="Arial" w:hAnsi="Arial" w:cs="Arial"/>
                <w:sz w:val="22"/>
                <w:szCs w:val="22"/>
              </w:rPr>
              <w:t>If a patient is in a care home, contact the home to explain changes and send letter to staff or patient as agreed by individual practice.</w:t>
            </w:r>
          </w:p>
          <w:p w:rsidR="00B2718E" w:rsidRPr="00B2718E" w:rsidRDefault="00513E32" w:rsidP="00D10D1A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DF5DE1">
              <w:rPr>
                <w:rFonts w:ascii="Arial" w:hAnsi="Arial" w:cs="Arial"/>
                <w:sz w:val="22"/>
                <w:szCs w:val="22"/>
              </w:rPr>
              <w:t xml:space="preserve">If a patient is registered blind, liaise with the authorising GP as to best method </w:t>
            </w:r>
          </w:p>
          <w:p w:rsidR="00B2718E" w:rsidRPr="00B2718E" w:rsidRDefault="00513E32" w:rsidP="004E04F0">
            <w:pPr>
              <w:ind w:left="720"/>
              <w:jc w:val="both"/>
              <w:rPr>
                <w:rFonts w:ascii="Arial" w:hAnsi="Arial" w:cs="Arial"/>
              </w:rPr>
            </w:pPr>
            <w:proofErr w:type="gramStart"/>
            <w:r w:rsidRPr="00B2718E">
              <w:rPr>
                <w:rFonts w:ascii="Arial" w:hAnsi="Arial" w:cs="Arial"/>
                <w:sz w:val="22"/>
                <w:szCs w:val="22"/>
              </w:rPr>
              <w:t>of</w:t>
            </w:r>
            <w:proofErr w:type="gramEnd"/>
            <w:r w:rsidRPr="00B2718E">
              <w:rPr>
                <w:rFonts w:ascii="Arial" w:hAnsi="Arial" w:cs="Arial"/>
                <w:sz w:val="22"/>
                <w:szCs w:val="22"/>
              </w:rPr>
              <w:t xml:space="preserve"> communication.</w:t>
            </w:r>
          </w:p>
        </w:tc>
      </w:tr>
    </w:tbl>
    <w:tbl>
      <w:tblPr>
        <w:tblpPr w:leftFromText="180" w:rightFromText="180" w:vertAnchor="text" w:horzAnchor="margin" w:tblpY="6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13E32" w:rsidRPr="00431859" w:rsidTr="00F00C96">
        <w:trPr>
          <w:trHeight w:val="324"/>
        </w:trPr>
        <w:tc>
          <w:tcPr>
            <w:tcW w:w="8522" w:type="dxa"/>
          </w:tcPr>
          <w:p w:rsidR="00513E32" w:rsidRPr="00431859" w:rsidRDefault="00513E32" w:rsidP="00F00C96">
            <w:pPr>
              <w:rPr>
                <w:rFonts w:ascii="Arial" w:hAnsi="Arial" w:cs="Arial"/>
                <w:b/>
              </w:rPr>
            </w:pPr>
            <w:r w:rsidRPr="00431859">
              <w:rPr>
                <w:rFonts w:ascii="Arial" w:hAnsi="Arial" w:cs="Arial"/>
                <w:b/>
              </w:rPr>
              <w:t>RECORD KEEPING</w:t>
            </w:r>
          </w:p>
        </w:tc>
      </w:tr>
      <w:tr w:rsidR="00513E32" w:rsidRPr="00431859" w:rsidTr="004E04F0">
        <w:trPr>
          <w:trHeight w:val="416"/>
        </w:trPr>
        <w:tc>
          <w:tcPr>
            <w:tcW w:w="8522" w:type="dxa"/>
          </w:tcPr>
          <w:p w:rsidR="00513E32" w:rsidRPr="00DF5DE1" w:rsidRDefault="00513E32" w:rsidP="00F00C9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DE1">
              <w:rPr>
                <w:rFonts w:ascii="SymbolMT" w:hAnsi="SymbolMT" w:cs="SymbolMT"/>
                <w:sz w:val="22"/>
                <w:szCs w:val="22"/>
              </w:rPr>
              <w:t>Suggestion sheets should be completed, initialled and dated to reflect actions taken.</w:t>
            </w:r>
          </w:p>
          <w:p w:rsidR="00513E32" w:rsidRPr="00DF5DE1" w:rsidRDefault="00513E32" w:rsidP="00F00C9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DE1">
              <w:rPr>
                <w:rFonts w:ascii="SymbolMT" w:hAnsi="SymbolMT" w:cs="SymbolMT"/>
                <w:sz w:val="22"/>
                <w:szCs w:val="22"/>
              </w:rPr>
              <w:t>D</w:t>
            </w:r>
            <w:r w:rsidRPr="00DF5DE1">
              <w:rPr>
                <w:rFonts w:ascii="Arial" w:hAnsi="Arial" w:cs="Arial"/>
                <w:sz w:val="22"/>
                <w:szCs w:val="22"/>
              </w:rPr>
              <w:t>ocumentation should be placed in a designated file and held securely within the practice.</w:t>
            </w:r>
          </w:p>
          <w:p w:rsidR="00513E32" w:rsidRPr="00DF5DE1" w:rsidRDefault="00513E32" w:rsidP="00F00C9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F5DE1">
              <w:rPr>
                <w:rFonts w:ascii="Arial" w:hAnsi="Arial" w:cs="Arial"/>
                <w:sz w:val="22"/>
                <w:szCs w:val="22"/>
              </w:rPr>
              <w:t xml:space="preserve">Documentation containing patient information should </w:t>
            </w:r>
            <w:r w:rsidRPr="00DF5DE1">
              <w:rPr>
                <w:rFonts w:ascii="Arial" w:hAnsi="Arial" w:cs="Arial"/>
                <w:sz w:val="22"/>
                <w:szCs w:val="22"/>
                <w:u w:val="single"/>
              </w:rPr>
              <w:t>not</w:t>
            </w:r>
            <w:r w:rsidRPr="00DF5DE1">
              <w:rPr>
                <w:rFonts w:ascii="Arial" w:hAnsi="Arial" w:cs="Arial"/>
                <w:sz w:val="22"/>
                <w:szCs w:val="22"/>
              </w:rPr>
              <w:t xml:space="preserve"> be removed from the practice</w:t>
            </w:r>
          </w:p>
          <w:p w:rsidR="00EB4D4D" w:rsidRPr="00431859" w:rsidRDefault="00513E32" w:rsidP="004E04F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F5DE1">
              <w:rPr>
                <w:rFonts w:ascii="Arial" w:hAnsi="Arial" w:cs="Arial"/>
                <w:sz w:val="22"/>
                <w:szCs w:val="22"/>
              </w:rPr>
              <w:t>Cost savings should be calculated and recorded in a timely manner</w:t>
            </w:r>
          </w:p>
        </w:tc>
      </w:tr>
    </w:tbl>
    <w:p w:rsidR="00356024" w:rsidRDefault="00356024" w:rsidP="00513E32">
      <w:pPr>
        <w:rPr>
          <w:rFonts w:ascii="Arial" w:hAnsi="Arial" w:cs="Arial"/>
          <w:color w:val="993366"/>
          <w:sz w:val="20"/>
          <w:szCs w:val="20"/>
        </w:rPr>
      </w:pPr>
    </w:p>
    <w:p w:rsidR="00356024" w:rsidRDefault="00356024" w:rsidP="00513E32">
      <w:pPr>
        <w:rPr>
          <w:rFonts w:ascii="Arial" w:hAnsi="Arial" w:cs="Arial"/>
          <w:color w:val="993366"/>
          <w:sz w:val="20"/>
          <w:szCs w:val="20"/>
        </w:rPr>
      </w:pPr>
    </w:p>
    <w:p w:rsidR="00356024" w:rsidRDefault="00356024" w:rsidP="00513E32">
      <w:pPr>
        <w:rPr>
          <w:rFonts w:ascii="Arial" w:hAnsi="Arial" w:cs="Arial"/>
          <w:color w:val="993366"/>
          <w:sz w:val="20"/>
          <w:szCs w:val="20"/>
        </w:rPr>
      </w:pPr>
    </w:p>
    <w:p w:rsidR="00356024" w:rsidRPr="00B2718E" w:rsidRDefault="00025E14" w:rsidP="00513E32">
      <w:pPr>
        <w:rPr>
          <w:rFonts w:ascii="Arial" w:hAnsi="Arial" w:cs="Arial"/>
          <w:sz w:val="20"/>
          <w:szCs w:val="20"/>
        </w:rPr>
      </w:pPr>
      <w:r w:rsidRPr="00B2718E">
        <w:rPr>
          <w:rFonts w:ascii="Arial" w:hAnsi="Arial" w:cs="Arial"/>
          <w:sz w:val="20"/>
          <w:szCs w:val="20"/>
        </w:rPr>
        <w:t xml:space="preserve">Abbreviations used: </w:t>
      </w:r>
      <w:r w:rsidRPr="00B2718E">
        <w:rPr>
          <w:rFonts w:ascii="Arial" w:hAnsi="Arial" w:cs="Arial"/>
          <w:sz w:val="20"/>
          <w:szCs w:val="20"/>
        </w:rPr>
        <w:tab/>
        <w:t>OAB</w:t>
      </w:r>
      <w:r w:rsidRPr="00B2718E">
        <w:rPr>
          <w:rFonts w:ascii="Arial" w:hAnsi="Arial" w:cs="Arial"/>
          <w:sz w:val="20"/>
          <w:szCs w:val="20"/>
        </w:rPr>
        <w:tab/>
        <w:t>= Over Active Bladder</w:t>
      </w:r>
    </w:p>
    <w:p w:rsidR="00025E14" w:rsidRPr="00B2718E" w:rsidRDefault="00025E14" w:rsidP="00513E32">
      <w:pPr>
        <w:rPr>
          <w:rFonts w:ascii="Arial" w:hAnsi="Arial" w:cs="Arial"/>
          <w:sz w:val="20"/>
          <w:szCs w:val="20"/>
        </w:rPr>
      </w:pPr>
      <w:r w:rsidRPr="00B2718E">
        <w:rPr>
          <w:rFonts w:ascii="Arial" w:hAnsi="Arial" w:cs="Arial"/>
          <w:sz w:val="20"/>
          <w:szCs w:val="20"/>
        </w:rPr>
        <w:tab/>
      </w:r>
      <w:r w:rsidRPr="00B2718E">
        <w:rPr>
          <w:rFonts w:ascii="Arial" w:hAnsi="Arial" w:cs="Arial"/>
          <w:sz w:val="20"/>
          <w:szCs w:val="20"/>
        </w:rPr>
        <w:tab/>
      </w:r>
      <w:r w:rsidRPr="00B2718E">
        <w:rPr>
          <w:rFonts w:ascii="Arial" w:hAnsi="Arial" w:cs="Arial"/>
          <w:sz w:val="20"/>
          <w:szCs w:val="20"/>
        </w:rPr>
        <w:tab/>
        <w:t>UI</w:t>
      </w:r>
      <w:r w:rsidRPr="00B2718E">
        <w:rPr>
          <w:rFonts w:ascii="Arial" w:hAnsi="Arial" w:cs="Arial"/>
          <w:sz w:val="20"/>
          <w:szCs w:val="20"/>
        </w:rPr>
        <w:tab/>
        <w:t>= Urinary Incontinence</w:t>
      </w:r>
    </w:p>
    <w:p w:rsidR="00025E14" w:rsidRPr="00B2718E" w:rsidRDefault="00025E14" w:rsidP="00513E32">
      <w:pPr>
        <w:rPr>
          <w:rFonts w:ascii="Arial" w:hAnsi="Arial" w:cs="Arial"/>
          <w:sz w:val="20"/>
          <w:szCs w:val="20"/>
        </w:rPr>
      </w:pPr>
      <w:r w:rsidRPr="00B2718E">
        <w:rPr>
          <w:rFonts w:ascii="Arial" w:hAnsi="Arial" w:cs="Arial"/>
          <w:sz w:val="20"/>
          <w:szCs w:val="20"/>
        </w:rPr>
        <w:tab/>
      </w:r>
      <w:r w:rsidRPr="00B2718E">
        <w:rPr>
          <w:rFonts w:ascii="Arial" w:hAnsi="Arial" w:cs="Arial"/>
          <w:sz w:val="20"/>
          <w:szCs w:val="20"/>
        </w:rPr>
        <w:tab/>
      </w:r>
      <w:r w:rsidRPr="00B2718E">
        <w:rPr>
          <w:rFonts w:ascii="Arial" w:hAnsi="Arial" w:cs="Arial"/>
          <w:sz w:val="20"/>
          <w:szCs w:val="20"/>
        </w:rPr>
        <w:tab/>
        <w:t>IR</w:t>
      </w:r>
      <w:r w:rsidRPr="00B2718E">
        <w:rPr>
          <w:rFonts w:ascii="Arial" w:hAnsi="Arial" w:cs="Arial"/>
          <w:sz w:val="20"/>
          <w:szCs w:val="20"/>
        </w:rPr>
        <w:tab/>
        <w:t>= Immediate Release</w:t>
      </w:r>
    </w:p>
    <w:p w:rsidR="00025E14" w:rsidRPr="00B2718E" w:rsidRDefault="00025E14" w:rsidP="00513E32">
      <w:pPr>
        <w:rPr>
          <w:rFonts w:ascii="Arial" w:hAnsi="Arial" w:cs="Arial"/>
          <w:sz w:val="20"/>
          <w:szCs w:val="20"/>
        </w:rPr>
      </w:pPr>
      <w:r w:rsidRPr="00B2718E">
        <w:rPr>
          <w:rFonts w:ascii="Arial" w:hAnsi="Arial" w:cs="Arial"/>
          <w:sz w:val="20"/>
          <w:szCs w:val="20"/>
        </w:rPr>
        <w:tab/>
      </w:r>
      <w:r w:rsidRPr="00B2718E">
        <w:rPr>
          <w:rFonts w:ascii="Arial" w:hAnsi="Arial" w:cs="Arial"/>
          <w:sz w:val="20"/>
          <w:szCs w:val="20"/>
        </w:rPr>
        <w:tab/>
      </w:r>
      <w:r w:rsidRPr="00B2718E">
        <w:rPr>
          <w:rFonts w:ascii="Arial" w:hAnsi="Arial" w:cs="Arial"/>
          <w:sz w:val="20"/>
          <w:szCs w:val="20"/>
        </w:rPr>
        <w:tab/>
        <w:t>MR</w:t>
      </w:r>
      <w:r w:rsidRPr="00B2718E">
        <w:rPr>
          <w:rFonts w:ascii="Arial" w:hAnsi="Arial" w:cs="Arial"/>
          <w:sz w:val="20"/>
          <w:szCs w:val="20"/>
        </w:rPr>
        <w:tab/>
        <w:t>= Modified Release</w:t>
      </w:r>
    </w:p>
    <w:p w:rsidR="00513E32" w:rsidRDefault="00513E32" w:rsidP="00513E32">
      <w:pPr>
        <w:rPr>
          <w:rFonts w:ascii="Arial" w:hAnsi="Arial" w:cs="Arial"/>
          <w:color w:val="993366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13E32" w:rsidRPr="00431859" w:rsidTr="00F00C96">
        <w:trPr>
          <w:trHeight w:val="324"/>
        </w:trPr>
        <w:tc>
          <w:tcPr>
            <w:tcW w:w="8522" w:type="dxa"/>
          </w:tcPr>
          <w:p w:rsidR="00513E32" w:rsidRPr="00431859" w:rsidRDefault="00D10D1A" w:rsidP="00F00C96">
            <w:pPr>
              <w:rPr>
                <w:rFonts w:ascii="Arial" w:hAnsi="Arial" w:cs="Arial"/>
                <w:b/>
              </w:rPr>
            </w:pPr>
            <w:r w:rsidRPr="00431859">
              <w:rPr>
                <w:rFonts w:ascii="Arial" w:hAnsi="Arial" w:cs="Arial"/>
                <w:b/>
              </w:rPr>
              <w:t>LOCAL VARIATION</w:t>
            </w:r>
          </w:p>
        </w:tc>
      </w:tr>
      <w:tr w:rsidR="00513E32" w:rsidRPr="00431859" w:rsidTr="00F00C96">
        <w:trPr>
          <w:trHeight w:val="1246"/>
        </w:trPr>
        <w:tc>
          <w:tcPr>
            <w:tcW w:w="8522" w:type="dxa"/>
          </w:tcPr>
          <w:p w:rsidR="00D10D1A" w:rsidRPr="0032422D" w:rsidRDefault="00D10D1A" w:rsidP="00D10D1A">
            <w:pPr>
              <w:tabs>
                <w:tab w:val="num" w:pos="540"/>
              </w:tabs>
              <w:ind w:right="-694"/>
              <w:rPr>
                <w:rFonts w:ascii="Arial" w:hAnsi="Arial" w:cs="Arial"/>
                <w:i/>
                <w:sz w:val="22"/>
                <w:szCs w:val="22"/>
              </w:rPr>
            </w:pPr>
            <w:r w:rsidRPr="0032422D">
              <w:rPr>
                <w:rFonts w:ascii="Arial" w:hAnsi="Arial" w:cs="Arial"/>
                <w:sz w:val="22"/>
                <w:szCs w:val="22"/>
              </w:rPr>
              <w:t>This SOP is intended to direct the work of the Prescribing Support Technician and</w:t>
            </w:r>
          </w:p>
          <w:p w:rsidR="00871284" w:rsidRDefault="00D10D1A" w:rsidP="00D10D1A">
            <w:pPr>
              <w:tabs>
                <w:tab w:val="num" w:pos="540"/>
              </w:tabs>
              <w:ind w:right="-69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422D">
              <w:rPr>
                <w:rFonts w:ascii="Arial" w:hAnsi="Arial" w:cs="Arial"/>
                <w:sz w:val="22"/>
                <w:szCs w:val="22"/>
              </w:rPr>
              <w:t>provides</w:t>
            </w:r>
            <w:proofErr w:type="gramEnd"/>
            <w:r w:rsidRPr="0032422D">
              <w:rPr>
                <w:rFonts w:ascii="Arial" w:hAnsi="Arial" w:cs="Arial"/>
                <w:sz w:val="22"/>
                <w:szCs w:val="22"/>
              </w:rPr>
              <w:t xml:space="preserve"> parameters within which they are expected to operate.</w:t>
            </w:r>
            <w:r w:rsidRPr="00826D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6D10" w:rsidRPr="00826D10">
              <w:rPr>
                <w:rFonts w:ascii="Arial" w:hAnsi="Arial" w:cs="Arial"/>
                <w:sz w:val="22"/>
                <w:szCs w:val="22"/>
              </w:rPr>
              <w:t xml:space="preserve">As this is a complex </w:t>
            </w:r>
          </w:p>
          <w:p w:rsidR="00871284" w:rsidRDefault="00826D10" w:rsidP="00D10D1A">
            <w:pPr>
              <w:tabs>
                <w:tab w:val="num" w:pos="540"/>
              </w:tabs>
              <w:ind w:right="-694"/>
              <w:rPr>
                <w:rFonts w:ascii="Arial" w:hAnsi="Arial" w:cs="Arial"/>
                <w:sz w:val="22"/>
                <w:szCs w:val="22"/>
              </w:rPr>
            </w:pPr>
            <w:r w:rsidRPr="00826D10">
              <w:rPr>
                <w:rFonts w:ascii="Arial" w:hAnsi="Arial" w:cs="Arial"/>
                <w:sz w:val="22"/>
                <w:szCs w:val="22"/>
              </w:rPr>
              <w:t xml:space="preserve">switch with several options it may be helpful to agree general principles with the </w:t>
            </w:r>
          </w:p>
          <w:p w:rsidR="00341AAE" w:rsidRDefault="00826D10" w:rsidP="00D10D1A">
            <w:pPr>
              <w:tabs>
                <w:tab w:val="num" w:pos="540"/>
              </w:tabs>
              <w:ind w:right="-69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26D10">
              <w:rPr>
                <w:rFonts w:ascii="Arial" w:hAnsi="Arial" w:cs="Arial"/>
                <w:sz w:val="22"/>
                <w:szCs w:val="22"/>
              </w:rPr>
              <w:t>practice</w:t>
            </w:r>
            <w:proofErr w:type="gramEnd"/>
            <w:r w:rsidRPr="00826D10">
              <w:rPr>
                <w:rFonts w:ascii="Arial" w:hAnsi="Arial" w:cs="Arial"/>
                <w:sz w:val="22"/>
                <w:szCs w:val="22"/>
              </w:rPr>
              <w:t xml:space="preserve"> before p</w:t>
            </w:r>
            <w:r w:rsidR="00341AAE">
              <w:rPr>
                <w:rFonts w:ascii="Arial" w:hAnsi="Arial" w:cs="Arial"/>
                <w:sz w:val="22"/>
                <w:szCs w:val="22"/>
              </w:rPr>
              <w:t>r</w:t>
            </w:r>
            <w:r w:rsidR="00C0297B">
              <w:rPr>
                <w:rFonts w:ascii="Arial" w:hAnsi="Arial" w:cs="Arial"/>
                <w:sz w:val="22"/>
                <w:szCs w:val="22"/>
              </w:rPr>
              <w:t xml:space="preserve">esenting the suggestion sheets. </w:t>
            </w:r>
            <w:r w:rsidRPr="00826D10">
              <w:rPr>
                <w:rFonts w:ascii="Arial" w:hAnsi="Arial" w:cs="Arial"/>
                <w:sz w:val="22"/>
                <w:szCs w:val="22"/>
              </w:rPr>
              <w:t xml:space="preserve">It may be helpful to have </w:t>
            </w:r>
            <w:r w:rsidR="00871284">
              <w:rPr>
                <w:rFonts w:ascii="Arial" w:hAnsi="Arial" w:cs="Arial"/>
                <w:sz w:val="22"/>
                <w:szCs w:val="22"/>
              </w:rPr>
              <w:t xml:space="preserve">the </w:t>
            </w:r>
          </w:p>
          <w:p w:rsidR="00341AAE" w:rsidRDefault="00871284" w:rsidP="00D10D1A">
            <w:pPr>
              <w:tabs>
                <w:tab w:val="num" w:pos="540"/>
              </w:tabs>
              <w:ind w:right="-6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prescribing adviser </w:t>
            </w:r>
            <w:r w:rsidR="00826D10" w:rsidRPr="00826D10">
              <w:rPr>
                <w:rFonts w:ascii="Arial" w:hAnsi="Arial" w:cs="Arial"/>
                <w:sz w:val="22"/>
                <w:szCs w:val="22"/>
              </w:rPr>
              <w:t xml:space="preserve">consider options for individual patients </w:t>
            </w:r>
            <w:r>
              <w:rPr>
                <w:rFonts w:ascii="Arial" w:hAnsi="Arial" w:cs="Arial"/>
                <w:sz w:val="22"/>
                <w:szCs w:val="22"/>
              </w:rPr>
              <w:t xml:space="preserve">especially those </w:t>
            </w:r>
            <w:r w:rsidR="00826D10" w:rsidRPr="00826D10">
              <w:rPr>
                <w:rFonts w:ascii="Arial" w:hAnsi="Arial" w:cs="Arial"/>
                <w:sz w:val="22"/>
                <w:szCs w:val="22"/>
              </w:rPr>
              <w:t xml:space="preserve">who are </w:t>
            </w:r>
          </w:p>
          <w:p w:rsidR="00201F54" w:rsidRDefault="00826D10" w:rsidP="005A7660">
            <w:pPr>
              <w:tabs>
                <w:tab w:val="num" w:pos="540"/>
              </w:tabs>
              <w:ind w:right="-69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26D10">
              <w:rPr>
                <w:rFonts w:ascii="Arial" w:hAnsi="Arial" w:cs="Arial"/>
                <w:sz w:val="22"/>
                <w:szCs w:val="22"/>
              </w:rPr>
              <w:t>on</w:t>
            </w:r>
            <w:proofErr w:type="gramEnd"/>
            <w:r w:rsidRPr="00826D10">
              <w:rPr>
                <w:rFonts w:ascii="Arial" w:hAnsi="Arial" w:cs="Arial"/>
                <w:sz w:val="22"/>
                <w:szCs w:val="22"/>
              </w:rPr>
              <w:t xml:space="preserve"> other anticholinergic </w:t>
            </w:r>
            <w:r w:rsidR="00871284">
              <w:rPr>
                <w:rFonts w:ascii="Arial" w:hAnsi="Arial" w:cs="Arial"/>
                <w:sz w:val="22"/>
                <w:szCs w:val="22"/>
              </w:rPr>
              <w:t xml:space="preserve">agents </w:t>
            </w:r>
            <w:r w:rsidRPr="00826D10">
              <w:rPr>
                <w:rFonts w:ascii="Arial" w:hAnsi="Arial" w:cs="Arial"/>
                <w:sz w:val="22"/>
                <w:szCs w:val="22"/>
              </w:rPr>
              <w:t>before presenting suggestion sheets.</w:t>
            </w:r>
            <w:r w:rsidR="00201F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297B">
              <w:rPr>
                <w:rFonts w:ascii="Arial" w:hAnsi="Arial" w:cs="Arial"/>
                <w:sz w:val="22"/>
                <w:szCs w:val="22"/>
              </w:rPr>
              <w:t xml:space="preserve">Cost savings will be greater if IR </w:t>
            </w:r>
            <w:proofErr w:type="spellStart"/>
            <w:r w:rsidR="00C0297B">
              <w:rPr>
                <w:rFonts w:ascii="Arial" w:hAnsi="Arial" w:cs="Arial"/>
                <w:sz w:val="22"/>
                <w:szCs w:val="22"/>
              </w:rPr>
              <w:t>tolterodine</w:t>
            </w:r>
            <w:proofErr w:type="spellEnd"/>
            <w:r w:rsidR="00C0297B">
              <w:rPr>
                <w:rFonts w:ascii="Arial" w:hAnsi="Arial" w:cs="Arial"/>
                <w:sz w:val="22"/>
                <w:szCs w:val="22"/>
              </w:rPr>
              <w:t xml:space="preserve"> is included as an option.</w:t>
            </w:r>
          </w:p>
          <w:p w:rsidR="00871284" w:rsidRDefault="00871284" w:rsidP="00D10D1A">
            <w:pPr>
              <w:tabs>
                <w:tab w:val="num" w:pos="540"/>
              </w:tabs>
              <w:ind w:right="-694"/>
              <w:rPr>
                <w:rFonts w:ascii="Arial" w:hAnsi="Arial" w:cs="Arial"/>
                <w:sz w:val="22"/>
                <w:szCs w:val="22"/>
              </w:rPr>
            </w:pPr>
          </w:p>
          <w:p w:rsidR="005A7660" w:rsidRDefault="00D10D1A" w:rsidP="00D10D1A">
            <w:pPr>
              <w:tabs>
                <w:tab w:val="num" w:pos="540"/>
              </w:tabs>
              <w:ind w:right="-694"/>
              <w:rPr>
                <w:rFonts w:ascii="Arial" w:hAnsi="Arial" w:cs="Arial"/>
                <w:sz w:val="22"/>
                <w:szCs w:val="22"/>
              </w:rPr>
            </w:pPr>
            <w:r w:rsidRPr="0032422D">
              <w:rPr>
                <w:rFonts w:ascii="Arial" w:hAnsi="Arial" w:cs="Arial"/>
                <w:sz w:val="22"/>
                <w:szCs w:val="22"/>
              </w:rPr>
              <w:t xml:space="preserve">Work outside of the protocol may be considered if clinically indicated and agreed </w:t>
            </w:r>
          </w:p>
          <w:p w:rsidR="00D10D1A" w:rsidRDefault="00D10D1A" w:rsidP="00D10D1A">
            <w:pPr>
              <w:tabs>
                <w:tab w:val="num" w:pos="540"/>
              </w:tabs>
              <w:ind w:right="-69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422D">
              <w:rPr>
                <w:rFonts w:ascii="Arial" w:hAnsi="Arial" w:cs="Arial"/>
                <w:sz w:val="22"/>
                <w:szCs w:val="22"/>
              </w:rPr>
              <w:t>by</w:t>
            </w:r>
            <w:proofErr w:type="gramEnd"/>
            <w:r w:rsidRPr="0032422D">
              <w:rPr>
                <w:rFonts w:ascii="Arial" w:hAnsi="Arial" w:cs="Arial"/>
                <w:sz w:val="22"/>
                <w:szCs w:val="22"/>
              </w:rPr>
              <w:t xml:space="preserve"> the Prescribing Team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</w:t>
            </w:r>
            <w:r w:rsidRPr="0032422D">
              <w:rPr>
                <w:rFonts w:ascii="Arial" w:hAnsi="Arial" w:cs="Arial"/>
                <w:sz w:val="22"/>
                <w:szCs w:val="22"/>
              </w:rPr>
              <w:t>GP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38126E">
              <w:rPr>
                <w:rFonts w:ascii="Arial" w:hAnsi="Arial" w:cs="Arial"/>
                <w:sz w:val="22"/>
                <w:szCs w:val="22"/>
              </w:rPr>
              <w:t xml:space="preserve"> Patients with an </w:t>
            </w:r>
            <w:proofErr w:type="spellStart"/>
            <w:r w:rsidR="0038126E">
              <w:rPr>
                <w:rFonts w:ascii="Arial" w:hAnsi="Arial" w:cs="Arial"/>
                <w:sz w:val="22"/>
                <w:szCs w:val="22"/>
              </w:rPr>
              <w:t>eGFR</w:t>
            </w:r>
            <w:proofErr w:type="spellEnd"/>
            <w:r w:rsidR="0038126E">
              <w:rPr>
                <w:rFonts w:ascii="Arial" w:hAnsi="Arial" w:cs="Arial"/>
                <w:sz w:val="22"/>
                <w:szCs w:val="22"/>
              </w:rPr>
              <w:t xml:space="preserve"> &lt;30 should be referred </w:t>
            </w:r>
          </w:p>
          <w:p w:rsidR="0038126E" w:rsidRDefault="0038126E" w:rsidP="00D10D1A">
            <w:pPr>
              <w:tabs>
                <w:tab w:val="num" w:pos="540"/>
              </w:tabs>
              <w:ind w:right="-694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the Prescribing Adviser. The maximum dose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tolterodine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 patients with 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eGFR</w:t>
            </w:r>
            <w:proofErr w:type="spellEnd"/>
          </w:p>
          <w:p w:rsidR="0038126E" w:rsidRDefault="0038126E" w:rsidP="00D10D1A">
            <w:pPr>
              <w:tabs>
                <w:tab w:val="num" w:pos="540"/>
              </w:tabs>
              <w:ind w:right="-6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&lt;30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2mg per day in total. Use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tolterodine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1mg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tolterodine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MR 2mg od as</w:t>
            </w:r>
          </w:p>
          <w:p w:rsidR="0038126E" w:rsidRPr="005A7660" w:rsidRDefault="00F35A3A" w:rsidP="00D10D1A">
            <w:pPr>
              <w:tabs>
                <w:tab w:val="num" w:pos="540"/>
              </w:tabs>
              <w:ind w:right="-694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38126E">
              <w:rPr>
                <w:rFonts w:ascii="Arial" w:hAnsi="Arial" w:cs="Arial"/>
                <w:sz w:val="22"/>
                <w:szCs w:val="22"/>
              </w:rPr>
              <w:t>ppropriate</w:t>
            </w:r>
            <w:proofErr w:type="gramEnd"/>
            <w:r w:rsidR="003812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10D1A" w:rsidRDefault="00D10D1A" w:rsidP="00D10D1A">
            <w:pPr>
              <w:tabs>
                <w:tab w:val="num" w:pos="540"/>
              </w:tabs>
              <w:ind w:right="-694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D10D1A" w:rsidRPr="00090422" w:rsidRDefault="00D10D1A" w:rsidP="00D10D1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0422">
              <w:rPr>
                <w:rFonts w:ascii="Arial" w:hAnsi="Arial" w:cs="Arial"/>
                <w:sz w:val="22"/>
                <w:szCs w:val="22"/>
              </w:rPr>
              <w:t>Notes of locally agreed variations to the above SOP:</w:t>
            </w:r>
          </w:p>
          <w:p w:rsidR="00D10D1A" w:rsidRPr="00090422" w:rsidRDefault="00D10D1A" w:rsidP="00D10D1A">
            <w:pPr>
              <w:rPr>
                <w:rFonts w:ascii="Arial" w:hAnsi="Arial" w:cs="Arial"/>
                <w:i/>
                <w:iCs/>
                <w:sz w:val="20"/>
              </w:rPr>
            </w:pPr>
          </w:p>
          <w:p w:rsidR="00D10D1A" w:rsidRPr="00090422" w:rsidRDefault="00D10D1A" w:rsidP="00D10D1A">
            <w:pPr>
              <w:rPr>
                <w:rFonts w:ascii="Arial" w:hAnsi="Arial" w:cs="Arial"/>
                <w:iCs/>
                <w:sz w:val="20"/>
              </w:rPr>
            </w:pPr>
            <w:r w:rsidRPr="00090422">
              <w:rPr>
                <w:rFonts w:ascii="Arial" w:hAnsi="Arial" w:cs="Arial"/>
                <w:iCs/>
                <w:sz w:val="20"/>
              </w:rPr>
              <w:t>…………………………………………………………………………………………………………</w:t>
            </w:r>
          </w:p>
          <w:p w:rsidR="00D10D1A" w:rsidRPr="00090422" w:rsidRDefault="00D10D1A" w:rsidP="00D10D1A">
            <w:pPr>
              <w:rPr>
                <w:rFonts w:ascii="Arial" w:hAnsi="Arial" w:cs="Arial"/>
                <w:iCs/>
                <w:sz w:val="20"/>
              </w:rPr>
            </w:pPr>
          </w:p>
          <w:p w:rsidR="00D10D1A" w:rsidRPr="00090422" w:rsidRDefault="00D10D1A" w:rsidP="00D10D1A">
            <w:pPr>
              <w:rPr>
                <w:rFonts w:ascii="Arial" w:hAnsi="Arial" w:cs="Arial"/>
                <w:iCs/>
                <w:sz w:val="20"/>
              </w:rPr>
            </w:pPr>
            <w:r w:rsidRPr="00090422">
              <w:rPr>
                <w:rFonts w:ascii="Arial" w:hAnsi="Arial" w:cs="Arial"/>
                <w:iCs/>
                <w:sz w:val="20"/>
              </w:rPr>
              <w:t>…………………………………………………………………………………………………………</w:t>
            </w:r>
          </w:p>
          <w:p w:rsidR="00D10D1A" w:rsidRPr="00090422" w:rsidRDefault="00D10D1A" w:rsidP="00D10D1A">
            <w:pPr>
              <w:rPr>
                <w:rFonts w:ascii="Arial" w:hAnsi="Arial" w:cs="Arial"/>
                <w:iCs/>
                <w:sz w:val="20"/>
              </w:rPr>
            </w:pPr>
          </w:p>
          <w:p w:rsidR="00D10D1A" w:rsidRPr="00090422" w:rsidRDefault="00D10D1A" w:rsidP="00D10D1A">
            <w:pPr>
              <w:rPr>
                <w:rFonts w:ascii="Arial" w:hAnsi="Arial" w:cs="Arial"/>
                <w:iCs/>
                <w:sz w:val="20"/>
              </w:rPr>
            </w:pPr>
            <w:r w:rsidRPr="00090422">
              <w:rPr>
                <w:rFonts w:ascii="Arial" w:hAnsi="Arial" w:cs="Arial"/>
                <w:iCs/>
                <w:sz w:val="20"/>
              </w:rPr>
              <w:t>…………………………………………………………………………………………………………</w:t>
            </w:r>
          </w:p>
          <w:p w:rsidR="00D10D1A" w:rsidRPr="00090422" w:rsidRDefault="00D10D1A" w:rsidP="00D10D1A">
            <w:pPr>
              <w:rPr>
                <w:rFonts w:ascii="Arial" w:hAnsi="Arial" w:cs="Arial"/>
                <w:iCs/>
                <w:sz w:val="20"/>
              </w:rPr>
            </w:pPr>
          </w:p>
          <w:p w:rsidR="00D10D1A" w:rsidRDefault="00D10D1A" w:rsidP="00D10D1A">
            <w:pPr>
              <w:rPr>
                <w:rFonts w:ascii="Arial" w:hAnsi="Arial" w:cs="Arial"/>
                <w:iCs/>
                <w:sz w:val="20"/>
              </w:rPr>
            </w:pPr>
            <w:r w:rsidRPr="00090422">
              <w:rPr>
                <w:rFonts w:ascii="Arial" w:hAnsi="Arial" w:cs="Arial"/>
                <w:iCs/>
                <w:sz w:val="20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iCs/>
                <w:sz w:val="20"/>
              </w:rPr>
              <w:t xml:space="preserve"> </w:t>
            </w:r>
          </w:p>
          <w:p w:rsidR="00D10D1A" w:rsidRPr="00090422" w:rsidRDefault="00D10D1A" w:rsidP="00D10D1A">
            <w:pPr>
              <w:rPr>
                <w:rFonts w:ascii="Arial" w:hAnsi="Arial" w:cs="Arial"/>
                <w:iCs/>
                <w:sz w:val="20"/>
              </w:rPr>
            </w:pPr>
          </w:p>
          <w:p w:rsidR="00513E32" w:rsidRPr="00D10D1A" w:rsidRDefault="00D10D1A" w:rsidP="00D10D1A">
            <w:pPr>
              <w:rPr>
                <w:rFonts w:ascii="Arial" w:hAnsi="Arial" w:cs="Arial"/>
                <w:iCs/>
                <w:sz w:val="20"/>
              </w:rPr>
            </w:pPr>
            <w:r w:rsidRPr="00662E83">
              <w:rPr>
                <w:rFonts w:ascii="Arial" w:hAnsi="Arial" w:cs="Arial"/>
                <w:iCs/>
                <w:sz w:val="20"/>
              </w:rPr>
              <w:t>Signed/Date (PA/GP)……………………………………………………………………………….</w:t>
            </w:r>
          </w:p>
        </w:tc>
      </w:tr>
    </w:tbl>
    <w:p w:rsidR="00D10D1A" w:rsidRDefault="00D10D1A" w:rsidP="00513E32">
      <w:pPr>
        <w:rPr>
          <w:rFonts w:ascii="Arial" w:hAnsi="Arial" w:cs="Arial"/>
          <w:color w:val="993366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D10D1A" w:rsidRPr="00AA5A4A" w:rsidTr="00AA5A4A">
        <w:tc>
          <w:tcPr>
            <w:tcW w:w="8522" w:type="dxa"/>
          </w:tcPr>
          <w:p w:rsidR="00D10D1A" w:rsidRPr="00AA5A4A" w:rsidRDefault="00D10D1A" w:rsidP="00513E32">
            <w:pPr>
              <w:rPr>
                <w:rFonts w:ascii="Arial" w:hAnsi="Arial" w:cs="Arial"/>
                <w:color w:val="993366"/>
                <w:sz w:val="20"/>
                <w:szCs w:val="20"/>
              </w:rPr>
            </w:pPr>
            <w:r w:rsidRPr="00AA5A4A">
              <w:rPr>
                <w:rFonts w:ascii="Arial" w:hAnsi="Arial" w:cs="Arial"/>
                <w:b/>
              </w:rPr>
              <w:t>GP LEAD AUTHORISATION</w:t>
            </w:r>
          </w:p>
        </w:tc>
      </w:tr>
      <w:tr w:rsidR="00D10D1A" w:rsidRPr="00AA5A4A" w:rsidTr="00AA5A4A">
        <w:tc>
          <w:tcPr>
            <w:tcW w:w="8522" w:type="dxa"/>
          </w:tcPr>
          <w:p w:rsidR="00D10D1A" w:rsidRPr="00AA5A4A" w:rsidRDefault="00D10D1A" w:rsidP="00AA5A4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A5A4A">
              <w:rPr>
                <w:rFonts w:ascii="Arial" w:hAnsi="Arial" w:cs="Arial"/>
                <w:sz w:val="22"/>
                <w:szCs w:val="22"/>
              </w:rPr>
              <w:t>I / we agree for the Prescribing team to carry out the above switch following the procedure detailed above.</w:t>
            </w:r>
          </w:p>
          <w:p w:rsidR="00D10D1A" w:rsidRPr="00AA5A4A" w:rsidRDefault="00D10D1A" w:rsidP="00AA5A4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D10D1A" w:rsidRPr="00AA5A4A" w:rsidRDefault="00D10D1A" w:rsidP="00AA5A4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A5A4A">
              <w:rPr>
                <w:rFonts w:ascii="Arial" w:hAnsi="Arial" w:cs="Arial"/>
                <w:sz w:val="22"/>
                <w:szCs w:val="22"/>
              </w:rPr>
              <w:t>Signed……………………………………………….</w:t>
            </w:r>
          </w:p>
          <w:p w:rsidR="00D10D1A" w:rsidRPr="00AA5A4A" w:rsidRDefault="00D10D1A" w:rsidP="00AA5A4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D10D1A" w:rsidRPr="00AA5A4A" w:rsidRDefault="00D10D1A" w:rsidP="00AA5A4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A5A4A">
              <w:rPr>
                <w:rFonts w:ascii="Arial" w:hAnsi="Arial" w:cs="Arial"/>
                <w:sz w:val="22"/>
                <w:szCs w:val="22"/>
              </w:rPr>
              <w:t>Print Name…………………………………………..</w:t>
            </w:r>
          </w:p>
          <w:p w:rsidR="00D10D1A" w:rsidRPr="00AA5A4A" w:rsidRDefault="00D10D1A" w:rsidP="00AA5A4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D10D1A" w:rsidRPr="00AA5A4A" w:rsidRDefault="00D10D1A" w:rsidP="00AA5A4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A5A4A">
              <w:rPr>
                <w:rFonts w:ascii="Arial" w:hAnsi="Arial" w:cs="Arial"/>
                <w:sz w:val="22"/>
                <w:szCs w:val="22"/>
              </w:rPr>
              <w:t>Date………………………………………</w:t>
            </w:r>
          </w:p>
          <w:p w:rsidR="00D10D1A" w:rsidRPr="00AA5A4A" w:rsidRDefault="00D10D1A" w:rsidP="00513E32">
            <w:pPr>
              <w:rPr>
                <w:rFonts w:ascii="Arial" w:hAnsi="Arial" w:cs="Arial"/>
                <w:color w:val="993366"/>
                <w:sz w:val="20"/>
                <w:szCs w:val="20"/>
              </w:rPr>
            </w:pPr>
          </w:p>
        </w:tc>
      </w:tr>
    </w:tbl>
    <w:p w:rsidR="004E04F0" w:rsidRDefault="004E04F0" w:rsidP="00463913">
      <w:pPr>
        <w:rPr>
          <w:rFonts w:ascii="Arial" w:hAnsi="Arial" w:cs="Arial"/>
          <w:b/>
          <w:sz w:val="28"/>
          <w:szCs w:val="28"/>
          <w:u w:val="single"/>
        </w:rPr>
      </w:pPr>
    </w:p>
    <w:p w:rsidR="004E04F0" w:rsidRDefault="004E04F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 w:type="page"/>
      </w:r>
    </w:p>
    <w:p w:rsidR="004E04F0" w:rsidRDefault="004E04F0" w:rsidP="004E04F0">
      <w:pPr>
        <w:rPr>
          <w:rFonts w:ascii="Arial" w:hAnsi="Arial" w:cs="Arial"/>
          <w:b/>
          <w:sz w:val="28"/>
          <w:szCs w:val="28"/>
          <w:u w:val="single"/>
        </w:rPr>
      </w:pPr>
    </w:p>
    <w:p w:rsidR="00871284" w:rsidRDefault="00871284" w:rsidP="004E04F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Appendix 1</w:t>
      </w: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2962"/>
        <w:gridCol w:w="2961"/>
        <w:gridCol w:w="3467"/>
      </w:tblGrid>
      <w:tr w:rsidR="00871284" w:rsidRPr="00871284" w:rsidTr="00871284">
        <w:trPr>
          <w:trHeight w:val="255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284" w:rsidRPr="00871284" w:rsidTr="00871284">
        <w:trPr>
          <w:trHeight w:val="300"/>
        </w:trPr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71284">
              <w:rPr>
                <w:rFonts w:ascii="Calibri" w:hAnsi="Calibri" w:cs="Arial"/>
                <w:b/>
                <w:bCs/>
                <w:sz w:val="22"/>
                <w:szCs w:val="22"/>
              </w:rPr>
              <w:t>Anticholinergic Burden (ACB)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71284" w:rsidRPr="00871284" w:rsidTr="00871284">
        <w:trPr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sz w:val="22"/>
                <w:szCs w:val="22"/>
              </w:rPr>
            </w:pPr>
            <w:r w:rsidRPr="00871284">
              <w:rPr>
                <w:rFonts w:ascii="Calibri" w:hAnsi="Calibri" w:cs="Arial"/>
                <w:sz w:val="22"/>
                <w:szCs w:val="22"/>
              </w:rPr>
              <w:t>The following table shows the anticholinergic score of a number of drugs,  The higher the score the greater the effect</w:t>
            </w:r>
          </w:p>
        </w:tc>
      </w:tr>
      <w:tr w:rsidR="00871284" w:rsidRPr="00871284" w:rsidTr="00871284">
        <w:trPr>
          <w:trHeight w:val="300"/>
        </w:trPr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sz w:val="22"/>
                <w:szCs w:val="22"/>
              </w:rPr>
            </w:pPr>
            <w:r w:rsidRPr="00871284">
              <w:rPr>
                <w:rFonts w:ascii="Calibri" w:hAnsi="Calibri" w:cs="Arial"/>
                <w:sz w:val="22"/>
                <w:szCs w:val="22"/>
              </w:rPr>
              <w:t xml:space="preserve">Nb.  The list is not exhaustive 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</w:pPr>
            <w:r w:rsidRPr="00871284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ACB=1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</w:pPr>
            <w:r w:rsidRPr="00871284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ACB=2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4F81BD" w:fill="4F81BD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</w:pPr>
            <w:r w:rsidRPr="00871284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ACB=3</w:t>
            </w: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alverine</w:t>
            </w:r>
            <w:proofErr w:type="spellEnd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amantadine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chlorpromazine</w:t>
            </w: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atenolol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baclofen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dicycloverine</w:t>
            </w:r>
            <w:proofErr w:type="spellEnd"/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beclometasone</w:t>
            </w:r>
            <w:proofErr w:type="spellEnd"/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carbamazepine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atropine</w:t>
            </w: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captopril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cetirizine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amitriptyline</w:t>
            </w: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chlordiazepoxide</w:t>
            </w:r>
            <w:proofErr w:type="spellEnd"/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cimetidine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chlorphenamine</w:t>
            </w:r>
            <w:proofErr w:type="spellEnd"/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044F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chlortalidone</w:t>
            </w:r>
            <w:proofErr w:type="spellEnd"/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darifenacin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hydroxyzine</w:t>
            </w: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codeine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diphenhydramine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oxybutinin</w:t>
            </w:r>
            <w:proofErr w:type="spellEnd"/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colchicine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doxepin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clemastine</w:t>
            </w:r>
            <w:proofErr w:type="spellEnd"/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diazepam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flavoxate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044F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clozapine </w:t>
            </w: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digoxin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hyoscine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glycopyrronium</w:t>
            </w:r>
            <w:proofErr w:type="spellEnd"/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dipyridamole</w:t>
            </w:r>
            <w:proofErr w:type="spellEnd"/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imipramine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fentanyl 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loperamide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furosemide 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loratidine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haloperidol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orphenadrine</w:t>
            </w:r>
            <w:proofErr w:type="spellEnd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5A7660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</w:t>
            </w:r>
            <w:r w:rsidR="00871284" w:rsidRPr="00871284">
              <w:rPr>
                <w:rFonts w:ascii="Calibri" w:hAnsi="Calibri" w:cs="Arial"/>
                <w:color w:val="000000"/>
                <w:sz w:val="22"/>
                <w:szCs w:val="22"/>
              </w:rPr>
              <w:t>heophylline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perphenazine</w:t>
            </w:r>
            <w:proofErr w:type="spellEnd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hydralazine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pethidine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loperamide</w:t>
            </w:r>
            <w:proofErr w:type="spellEnd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prochlorperazine</w:t>
            </w:r>
            <w:proofErr w:type="spellEnd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metoprolol</w:t>
            </w:r>
            <w:proofErr w:type="spellEnd"/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procyclidine</w:t>
            </w:r>
            <w:proofErr w:type="spellEnd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mirtazapine 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promazine</w:t>
            </w:r>
            <w:proofErr w:type="spellEnd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morphine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propantheline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nifedipine</w:t>
            </w:r>
            <w:proofErr w:type="spellEnd"/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scopolamine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olanzapine 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solifenacin</w:t>
            </w:r>
            <w:proofErr w:type="spellEnd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paroxetine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tolterodine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quetiapine 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trimipramine</w:t>
            </w:r>
            <w:proofErr w:type="spellEnd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ranitidine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trospium</w:t>
            </w:r>
            <w:proofErr w:type="spellEnd"/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timolol</w:t>
            </w:r>
            <w:proofErr w:type="spellEnd"/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trazodone 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>triamterene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871284" w:rsidRPr="00871284" w:rsidTr="00871284">
        <w:trPr>
          <w:trHeight w:val="300"/>
        </w:trPr>
        <w:tc>
          <w:tcPr>
            <w:tcW w:w="296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7128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warfarin 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B8CCE4" w:fill="B8CCE4"/>
            <w:noWrap/>
            <w:vAlign w:val="bottom"/>
            <w:hideMark/>
          </w:tcPr>
          <w:p w:rsidR="00871284" w:rsidRPr="00871284" w:rsidRDefault="00871284" w:rsidP="0087128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</w:tbl>
    <w:p w:rsidR="00871284" w:rsidRDefault="00871284" w:rsidP="00463913">
      <w:pPr>
        <w:rPr>
          <w:rFonts w:ascii="Arial" w:hAnsi="Arial" w:cs="Arial"/>
        </w:rPr>
      </w:pPr>
    </w:p>
    <w:p w:rsidR="00EF77BE" w:rsidRPr="00EF77BE" w:rsidRDefault="00EF77BE" w:rsidP="00EF77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Other drugs which may have anticholinergic activity but have not been assigned an anticholinergic score </w:t>
      </w:r>
      <w:r w:rsidRPr="00EF77BE">
        <w:rPr>
          <w:rFonts w:ascii="Arial" w:hAnsi="Arial" w:cs="Arial"/>
        </w:rPr>
        <w:t xml:space="preserve">include, Venlafaxine, </w:t>
      </w:r>
      <w:proofErr w:type="spellStart"/>
      <w:r w:rsidRPr="00EF77BE">
        <w:rPr>
          <w:rFonts w:ascii="Arial" w:hAnsi="Arial" w:cs="Arial"/>
        </w:rPr>
        <w:t>Cyproheptadine</w:t>
      </w:r>
      <w:proofErr w:type="spellEnd"/>
      <w:r w:rsidRPr="00EF77BE">
        <w:rPr>
          <w:rFonts w:ascii="Arial" w:hAnsi="Arial" w:cs="Arial"/>
        </w:rPr>
        <w:t xml:space="preserve">, </w:t>
      </w:r>
      <w:proofErr w:type="spellStart"/>
      <w:proofErr w:type="gramStart"/>
      <w:r w:rsidRPr="00EF77BE">
        <w:rPr>
          <w:rFonts w:ascii="Arial" w:hAnsi="Arial" w:cs="Arial"/>
        </w:rPr>
        <w:t>Nefopam</w:t>
      </w:r>
      <w:proofErr w:type="spellEnd"/>
      <w:proofErr w:type="gramEnd"/>
      <w:r w:rsidRPr="00EF77BE">
        <w:rPr>
          <w:rFonts w:ascii="Arial" w:hAnsi="Arial" w:cs="Arial"/>
        </w:rPr>
        <w:t xml:space="preserve">, </w:t>
      </w:r>
      <w:proofErr w:type="spellStart"/>
      <w:r w:rsidRPr="00EF77BE">
        <w:rPr>
          <w:rFonts w:ascii="Arial" w:hAnsi="Arial" w:cs="Arial"/>
        </w:rPr>
        <w:t>pimozide</w:t>
      </w:r>
      <w:proofErr w:type="spellEnd"/>
      <w:r w:rsidR="00E54156">
        <w:rPr>
          <w:rFonts w:ascii="Arial" w:hAnsi="Arial" w:cs="Arial"/>
        </w:rPr>
        <w:t xml:space="preserve">, </w:t>
      </w:r>
      <w:proofErr w:type="spellStart"/>
      <w:r w:rsidR="00E54156">
        <w:rPr>
          <w:rFonts w:ascii="Arial" w:hAnsi="Arial" w:cs="Arial"/>
        </w:rPr>
        <w:t>tiotropium</w:t>
      </w:r>
      <w:proofErr w:type="spellEnd"/>
      <w:r w:rsidR="00E54156">
        <w:rPr>
          <w:rFonts w:ascii="Arial" w:hAnsi="Arial" w:cs="Arial"/>
        </w:rPr>
        <w:t xml:space="preserve">, </w:t>
      </w:r>
      <w:proofErr w:type="spellStart"/>
      <w:r w:rsidR="00E54156">
        <w:rPr>
          <w:rFonts w:ascii="Arial" w:hAnsi="Arial" w:cs="Arial"/>
        </w:rPr>
        <w:t>aclidinium</w:t>
      </w:r>
      <w:proofErr w:type="spellEnd"/>
      <w:r w:rsidR="00E54156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ipratropium</w:t>
      </w:r>
      <w:r w:rsidR="00E54156">
        <w:rPr>
          <w:rFonts w:ascii="Arial" w:hAnsi="Arial" w:cs="Arial"/>
        </w:rPr>
        <w:t xml:space="preserve">. </w:t>
      </w:r>
    </w:p>
    <w:p w:rsidR="00EF77BE" w:rsidRPr="00871284" w:rsidRDefault="00EF77BE" w:rsidP="00463913">
      <w:pPr>
        <w:rPr>
          <w:rFonts w:ascii="Arial" w:hAnsi="Arial" w:cs="Arial"/>
        </w:rPr>
      </w:pPr>
    </w:p>
    <w:sectPr w:rsidR="00EF77BE" w:rsidRPr="00871284" w:rsidSect="00963268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5B" w:rsidRDefault="00EA235B" w:rsidP="00CF0E7D">
      <w:r>
        <w:separator/>
      </w:r>
    </w:p>
  </w:endnote>
  <w:endnote w:type="continuationSeparator" w:id="0">
    <w:p w:rsidR="00EA235B" w:rsidRDefault="00EA235B" w:rsidP="00CF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97B" w:rsidRDefault="00C0297B" w:rsidP="00CF0E7D">
    <w:pPr>
      <w:rPr>
        <w:rFonts w:ascii="Arial" w:hAnsi="Arial" w:cs="Arial"/>
        <w:sz w:val="18"/>
        <w:szCs w:val="18"/>
      </w:rPr>
    </w:pPr>
    <w:r w:rsidRPr="00CF0E7D">
      <w:rPr>
        <w:rFonts w:ascii="Arial" w:hAnsi="Arial" w:cs="Arial"/>
        <w:sz w:val="18"/>
        <w:szCs w:val="18"/>
      </w:rPr>
      <w:t>Author:</w:t>
    </w:r>
    <w:r w:rsidR="002D4435">
      <w:rPr>
        <w:rFonts w:ascii="Arial" w:hAnsi="Arial" w:cs="Arial"/>
        <w:sz w:val="18"/>
        <w:szCs w:val="18"/>
      </w:rPr>
      <w:t xml:space="preserve"> Anne Maher</w:t>
    </w:r>
  </w:p>
  <w:p w:rsidR="00C0297B" w:rsidRPr="00CF0E7D" w:rsidRDefault="00C0297B" w:rsidP="00CF0E7D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Checked by:</w:t>
    </w:r>
    <w:r w:rsidR="002D4435">
      <w:rPr>
        <w:rFonts w:ascii="Arial" w:hAnsi="Arial" w:cs="Arial"/>
        <w:sz w:val="18"/>
        <w:szCs w:val="18"/>
      </w:rPr>
      <w:t xml:space="preserve"> Helen Seddon</w:t>
    </w:r>
  </w:p>
  <w:p w:rsidR="00C0297B" w:rsidRPr="00CF0E7D" w:rsidRDefault="00C0297B" w:rsidP="00CF0E7D">
    <w:pPr>
      <w:rPr>
        <w:rFonts w:ascii="Arial" w:hAnsi="Arial" w:cs="Arial"/>
        <w:sz w:val="18"/>
        <w:szCs w:val="18"/>
      </w:rPr>
    </w:pPr>
    <w:r w:rsidRPr="00CF0E7D">
      <w:rPr>
        <w:rFonts w:ascii="Arial" w:hAnsi="Arial" w:cs="Arial"/>
        <w:sz w:val="18"/>
        <w:szCs w:val="18"/>
      </w:rPr>
      <w:t>Approved By:</w:t>
    </w:r>
    <w:r w:rsidR="002D4435">
      <w:rPr>
        <w:rFonts w:ascii="Arial" w:hAnsi="Arial" w:cs="Arial"/>
        <w:sz w:val="18"/>
        <w:szCs w:val="18"/>
      </w:rPr>
      <w:t xml:space="preserve"> Giles Owen</w:t>
    </w:r>
  </w:p>
  <w:p w:rsidR="00C0297B" w:rsidRPr="00CF0E7D" w:rsidRDefault="00C0297B" w:rsidP="00CF0E7D">
    <w:pPr>
      <w:rPr>
        <w:rFonts w:ascii="Arial" w:hAnsi="Arial" w:cs="Arial"/>
        <w:sz w:val="18"/>
        <w:szCs w:val="18"/>
      </w:rPr>
    </w:pPr>
    <w:r w:rsidRPr="00CF0E7D">
      <w:rPr>
        <w:rFonts w:ascii="Arial" w:hAnsi="Arial" w:cs="Arial"/>
        <w:sz w:val="18"/>
        <w:szCs w:val="18"/>
      </w:rPr>
      <w:t>Date Approved:</w:t>
    </w:r>
    <w:r w:rsidR="002D4435">
      <w:rPr>
        <w:rFonts w:ascii="Arial" w:hAnsi="Arial" w:cs="Arial"/>
        <w:sz w:val="18"/>
        <w:szCs w:val="18"/>
      </w:rPr>
      <w:t xml:space="preserve"> 18.3.14</w:t>
    </w:r>
  </w:p>
  <w:p w:rsidR="008044FC" w:rsidRDefault="008044FC" w:rsidP="00CF0E7D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Updated: 19.6.14</w:t>
    </w:r>
  </w:p>
  <w:p w:rsidR="00C0297B" w:rsidRPr="00CF0E7D" w:rsidRDefault="00C0297B" w:rsidP="00CF0E7D">
    <w:pPr>
      <w:rPr>
        <w:sz w:val="18"/>
        <w:szCs w:val="18"/>
      </w:rPr>
    </w:pPr>
    <w:r w:rsidRPr="00CF0E7D">
      <w:rPr>
        <w:rFonts w:ascii="Arial" w:hAnsi="Arial" w:cs="Arial"/>
        <w:sz w:val="18"/>
        <w:szCs w:val="18"/>
      </w:rPr>
      <w:t>Review Date</w:t>
    </w:r>
    <w:r>
      <w:rPr>
        <w:rFonts w:ascii="Arial" w:hAnsi="Arial" w:cs="Arial"/>
        <w:sz w:val="18"/>
        <w:szCs w:val="18"/>
      </w:rPr>
      <w:t>:</w:t>
    </w:r>
    <w:r w:rsidR="002D4435">
      <w:rPr>
        <w:rFonts w:ascii="Arial" w:hAnsi="Arial" w:cs="Arial"/>
        <w:sz w:val="18"/>
        <w:szCs w:val="18"/>
      </w:rPr>
      <w:t xml:space="preserve"> 31.3.15</w:t>
    </w:r>
  </w:p>
  <w:p w:rsidR="00C0297B" w:rsidRDefault="00C029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5B" w:rsidRDefault="00EA235B" w:rsidP="00CF0E7D">
      <w:r>
        <w:separator/>
      </w:r>
    </w:p>
  </w:footnote>
  <w:footnote w:type="continuationSeparator" w:id="0">
    <w:p w:rsidR="00EA235B" w:rsidRDefault="00EA235B" w:rsidP="00CF0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OLE_LINK1"/>
  <w:bookmarkStart w:id="2" w:name="OLE_LINK2"/>
  <w:p w:rsidR="00C0297B" w:rsidRDefault="00E54156" w:rsidP="0068521A">
    <w:pPr>
      <w:pStyle w:val="Header"/>
      <w:ind w:right="-483"/>
    </w:pPr>
    <w:r>
      <w:rPr>
        <w:rFonts w:ascii="FrutigerLT-Bold" w:hAnsi="FrutigerLT-Bold" w:cs="FrutigerLT-Bold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3554095</wp:posOffset>
              </wp:positionH>
              <wp:positionV relativeFrom="paragraph">
                <wp:posOffset>-86995</wp:posOffset>
              </wp:positionV>
              <wp:extent cx="2526665" cy="649605"/>
              <wp:effectExtent l="0" t="0" r="0" b="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6665" cy="64960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3363" w:rsidRPr="00F92D39" w:rsidRDefault="00C13363" w:rsidP="007F4E4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3625" cy="533400"/>
                                <wp:effectExtent l="0" t="0" r="9525" b="0"/>
                                <wp:docPr id="5" name="Picture 5" descr="Nene_Corporate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Nene_Corporate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3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9.85pt;margin-top:-6.85pt;width:198.95pt;height:51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" fillcolor="white [3212]" stroked="f">
              <v:textbox>
                <w:txbxContent>
                  <w:p w:rsidR="00C13363" w:rsidRPr="00F92D39" w:rsidRDefault="00C13363" w:rsidP="007F4E40"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3625" cy="533400"/>
                          <wp:effectExtent l="0" t="0" r="9525" b="0"/>
                          <wp:docPr id="5" name="Picture 5" descr="Nene_Corporate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Nene_Corporate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3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FrutigerLT-Bold" w:hAnsi="FrutigerLT-Bold" w:cs="FrutigerLT-Bold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31750</wp:posOffset>
              </wp:positionH>
              <wp:positionV relativeFrom="paragraph">
                <wp:posOffset>-86995</wp:posOffset>
              </wp:positionV>
              <wp:extent cx="2479040" cy="583565"/>
              <wp:effectExtent l="0" t="0" r="17145" b="2603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9040" cy="583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3363" w:rsidRPr="001134A4" w:rsidRDefault="00C133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286000" cy="514350"/>
                                <wp:effectExtent l="0" t="0" r="0" b="0"/>
                                <wp:docPr id="2" name="Picture 2" descr="Corby CCG NEW logo (2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orby CCG NEW logo (2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8600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.5pt;margin-top:-6.85pt;width:195.2pt;height:45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" strokecolor="white [3212]">
              <v:textbox>
                <w:txbxContent>
                  <w:p w:rsidR="00C13363" w:rsidRPr="001134A4" w:rsidRDefault="00C133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2286000" cy="514350"/>
                          <wp:effectExtent l="0" t="0" r="0" b="0"/>
                          <wp:docPr id="2" name="Picture 2" descr="Corby CCG NEW logo (2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orby CCG NEW logo (2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8600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297B">
      <w:rPr>
        <w:rFonts w:ascii="FrutigerLT-Bold" w:hAnsi="FrutigerLT-Bold" w:cs="FrutigerLT-Bold"/>
        <w:b/>
        <w:bCs/>
        <w:sz w:val="18"/>
        <w:szCs w:val="18"/>
      </w:rPr>
      <w:tab/>
    </w:r>
    <w:r w:rsidR="00C0297B">
      <w:rPr>
        <w:rFonts w:ascii="FrutigerLT-Bold" w:hAnsi="FrutigerLT-Bold" w:cs="FrutigerLT-Bold"/>
        <w:b/>
        <w:bCs/>
        <w:sz w:val="18"/>
        <w:szCs w:val="18"/>
      </w:rPr>
      <w:tab/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441"/>
    <w:multiLevelType w:val="hybridMultilevel"/>
    <w:tmpl w:val="E0ACD8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D11BA2"/>
    <w:multiLevelType w:val="hybridMultilevel"/>
    <w:tmpl w:val="BF08364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6726FE"/>
    <w:multiLevelType w:val="hybridMultilevel"/>
    <w:tmpl w:val="146235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A3DDB"/>
    <w:multiLevelType w:val="hybridMultilevel"/>
    <w:tmpl w:val="801E8F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0146EF"/>
    <w:multiLevelType w:val="hybridMultilevel"/>
    <w:tmpl w:val="26EA4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27AA7"/>
    <w:multiLevelType w:val="hybridMultilevel"/>
    <w:tmpl w:val="6B4A8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F42A2"/>
    <w:multiLevelType w:val="hybridMultilevel"/>
    <w:tmpl w:val="14C076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4A21BF9"/>
    <w:multiLevelType w:val="hybridMultilevel"/>
    <w:tmpl w:val="903E0F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7A0255"/>
    <w:multiLevelType w:val="hybridMultilevel"/>
    <w:tmpl w:val="3F68DD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A91904"/>
    <w:multiLevelType w:val="hybridMultilevel"/>
    <w:tmpl w:val="66A66F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523EF"/>
    <w:multiLevelType w:val="hybridMultilevel"/>
    <w:tmpl w:val="876CD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B80DE1"/>
    <w:multiLevelType w:val="hybridMultilevel"/>
    <w:tmpl w:val="594AF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B558E"/>
    <w:multiLevelType w:val="hybridMultilevel"/>
    <w:tmpl w:val="BEC62E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B0E0C7F"/>
    <w:multiLevelType w:val="hybridMultilevel"/>
    <w:tmpl w:val="1CBCD2E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D7724C5"/>
    <w:multiLevelType w:val="hybridMultilevel"/>
    <w:tmpl w:val="C28AD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95027"/>
    <w:multiLevelType w:val="hybridMultilevel"/>
    <w:tmpl w:val="3B4C3DA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54133175"/>
    <w:multiLevelType w:val="hybridMultilevel"/>
    <w:tmpl w:val="1A38173E"/>
    <w:lvl w:ilvl="0" w:tplc="0CEAC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C65157"/>
    <w:multiLevelType w:val="hybridMultilevel"/>
    <w:tmpl w:val="0556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F095C"/>
    <w:multiLevelType w:val="hybridMultilevel"/>
    <w:tmpl w:val="553AFC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5E2CC1"/>
    <w:multiLevelType w:val="hybridMultilevel"/>
    <w:tmpl w:val="34B8DB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94092F"/>
    <w:multiLevelType w:val="hybridMultilevel"/>
    <w:tmpl w:val="F8160A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0E04ED6"/>
    <w:multiLevelType w:val="hybridMultilevel"/>
    <w:tmpl w:val="4C3046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E370D6"/>
    <w:multiLevelType w:val="hybridMultilevel"/>
    <w:tmpl w:val="46B62E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1080FA3"/>
    <w:multiLevelType w:val="hybridMultilevel"/>
    <w:tmpl w:val="393C0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ED4E65"/>
    <w:multiLevelType w:val="hybridMultilevel"/>
    <w:tmpl w:val="9C1442E4"/>
    <w:lvl w:ilvl="0" w:tplc="08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1"/>
  </w:num>
  <w:num w:numId="5">
    <w:abstractNumId w:val="18"/>
  </w:num>
  <w:num w:numId="6">
    <w:abstractNumId w:val="16"/>
  </w:num>
  <w:num w:numId="7">
    <w:abstractNumId w:val="9"/>
  </w:num>
  <w:num w:numId="8">
    <w:abstractNumId w:val="23"/>
  </w:num>
  <w:num w:numId="9">
    <w:abstractNumId w:val="20"/>
  </w:num>
  <w:num w:numId="10">
    <w:abstractNumId w:val="8"/>
  </w:num>
  <w:num w:numId="11">
    <w:abstractNumId w:val="22"/>
  </w:num>
  <w:num w:numId="12">
    <w:abstractNumId w:val="1"/>
  </w:num>
  <w:num w:numId="13">
    <w:abstractNumId w:val="12"/>
  </w:num>
  <w:num w:numId="14">
    <w:abstractNumId w:val="13"/>
  </w:num>
  <w:num w:numId="15">
    <w:abstractNumId w:val="6"/>
  </w:num>
  <w:num w:numId="16">
    <w:abstractNumId w:val="10"/>
  </w:num>
  <w:num w:numId="17">
    <w:abstractNumId w:val="21"/>
  </w:num>
  <w:num w:numId="18">
    <w:abstractNumId w:val="2"/>
  </w:num>
  <w:num w:numId="19">
    <w:abstractNumId w:val="7"/>
  </w:num>
  <w:num w:numId="20">
    <w:abstractNumId w:val="17"/>
  </w:num>
  <w:num w:numId="21">
    <w:abstractNumId w:val="15"/>
  </w:num>
  <w:num w:numId="22">
    <w:abstractNumId w:val="4"/>
  </w:num>
  <w:num w:numId="23">
    <w:abstractNumId w:val="24"/>
  </w:num>
  <w:num w:numId="24">
    <w:abstractNumId w:val="1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03"/>
    <w:rsid w:val="00022452"/>
    <w:rsid w:val="00025E14"/>
    <w:rsid w:val="00055010"/>
    <w:rsid w:val="00071F78"/>
    <w:rsid w:val="00071FCF"/>
    <w:rsid w:val="00096F4A"/>
    <w:rsid w:val="000E1D0B"/>
    <w:rsid w:val="000F7CA4"/>
    <w:rsid w:val="00190131"/>
    <w:rsid w:val="001912A8"/>
    <w:rsid w:val="00196E63"/>
    <w:rsid w:val="001D063C"/>
    <w:rsid w:val="001E020F"/>
    <w:rsid w:val="001F4AD1"/>
    <w:rsid w:val="001F4AF3"/>
    <w:rsid w:val="00201F54"/>
    <w:rsid w:val="00205A58"/>
    <w:rsid w:val="00213291"/>
    <w:rsid w:val="002660AA"/>
    <w:rsid w:val="0027259D"/>
    <w:rsid w:val="002770A6"/>
    <w:rsid w:val="002949E4"/>
    <w:rsid w:val="002D2A67"/>
    <w:rsid w:val="002D4435"/>
    <w:rsid w:val="0030241B"/>
    <w:rsid w:val="00315585"/>
    <w:rsid w:val="0032422D"/>
    <w:rsid w:val="0032558C"/>
    <w:rsid w:val="00341AAE"/>
    <w:rsid w:val="0034203A"/>
    <w:rsid w:val="00356024"/>
    <w:rsid w:val="00357A03"/>
    <w:rsid w:val="0038126E"/>
    <w:rsid w:val="003B08B8"/>
    <w:rsid w:val="003D4310"/>
    <w:rsid w:val="003E754E"/>
    <w:rsid w:val="003F6CAF"/>
    <w:rsid w:val="004053DD"/>
    <w:rsid w:val="00431859"/>
    <w:rsid w:val="00463913"/>
    <w:rsid w:val="00481130"/>
    <w:rsid w:val="004A1EBC"/>
    <w:rsid w:val="004A1FFA"/>
    <w:rsid w:val="004B3D73"/>
    <w:rsid w:val="004E04F0"/>
    <w:rsid w:val="00505E53"/>
    <w:rsid w:val="00513E32"/>
    <w:rsid w:val="005222E3"/>
    <w:rsid w:val="00580751"/>
    <w:rsid w:val="005A7660"/>
    <w:rsid w:val="005C32EC"/>
    <w:rsid w:val="005C37CA"/>
    <w:rsid w:val="005E6A48"/>
    <w:rsid w:val="00607103"/>
    <w:rsid w:val="006113C0"/>
    <w:rsid w:val="00615500"/>
    <w:rsid w:val="0064696F"/>
    <w:rsid w:val="0068521A"/>
    <w:rsid w:val="006A3411"/>
    <w:rsid w:val="006B7D1E"/>
    <w:rsid w:val="006D46D7"/>
    <w:rsid w:val="006F2177"/>
    <w:rsid w:val="006F2341"/>
    <w:rsid w:val="006F3539"/>
    <w:rsid w:val="00710CB9"/>
    <w:rsid w:val="00726985"/>
    <w:rsid w:val="007333CF"/>
    <w:rsid w:val="00755CD4"/>
    <w:rsid w:val="007750A7"/>
    <w:rsid w:val="00787611"/>
    <w:rsid w:val="007B46FE"/>
    <w:rsid w:val="007B7C5C"/>
    <w:rsid w:val="007C4C2D"/>
    <w:rsid w:val="007F0E54"/>
    <w:rsid w:val="007F5D28"/>
    <w:rsid w:val="007F6DB4"/>
    <w:rsid w:val="007F7F85"/>
    <w:rsid w:val="008044FC"/>
    <w:rsid w:val="008234CA"/>
    <w:rsid w:val="00824189"/>
    <w:rsid w:val="00826D10"/>
    <w:rsid w:val="008369B7"/>
    <w:rsid w:val="00871284"/>
    <w:rsid w:val="0087574F"/>
    <w:rsid w:val="00886FBE"/>
    <w:rsid w:val="00901520"/>
    <w:rsid w:val="009177E4"/>
    <w:rsid w:val="009266AE"/>
    <w:rsid w:val="00932AC6"/>
    <w:rsid w:val="009532C7"/>
    <w:rsid w:val="00963268"/>
    <w:rsid w:val="009920EB"/>
    <w:rsid w:val="00A071EF"/>
    <w:rsid w:val="00A5326E"/>
    <w:rsid w:val="00A62BC2"/>
    <w:rsid w:val="00A64793"/>
    <w:rsid w:val="00A96953"/>
    <w:rsid w:val="00AA5A4A"/>
    <w:rsid w:val="00AF3030"/>
    <w:rsid w:val="00B2718E"/>
    <w:rsid w:val="00B36B6C"/>
    <w:rsid w:val="00B817EB"/>
    <w:rsid w:val="00BA3926"/>
    <w:rsid w:val="00BD23AB"/>
    <w:rsid w:val="00BF2A67"/>
    <w:rsid w:val="00BF760D"/>
    <w:rsid w:val="00C0297B"/>
    <w:rsid w:val="00C13363"/>
    <w:rsid w:val="00C21BF6"/>
    <w:rsid w:val="00C24E94"/>
    <w:rsid w:val="00C75A4A"/>
    <w:rsid w:val="00C809BC"/>
    <w:rsid w:val="00CF0E7D"/>
    <w:rsid w:val="00D10D1A"/>
    <w:rsid w:val="00D13128"/>
    <w:rsid w:val="00D87827"/>
    <w:rsid w:val="00D94DB5"/>
    <w:rsid w:val="00DB57EF"/>
    <w:rsid w:val="00DD5347"/>
    <w:rsid w:val="00DF503E"/>
    <w:rsid w:val="00DF5DE1"/>
    <w:rsid w:val="00DF6C80"/>
    <w:rsid w:val="00E01E14"/>
    <w:rsid w:val="00E1664B"/>
    <w:rsid w:val="00E20FEF"/>
    <w:rsid w:val="00E54156"/>
    <w:rsid w:val="00EA235B"/>
    <w:rsid w:val="00EB4D4D"/>
    <w:rsid w:val="00EC73E4"/>
    <w:rsid w:val="00EF77BE"/>
    <w:rsid w:val="00F00C96"/>
    <w:rsid w:val="00F03CAE"/>
    <w:rsid w:val="00F129A9"/>
    <w:rsid w:val="00F27943"/>
    <w:rsid w:val="00F35A3A"/>
    <w:rsid w:val="00F379A3"/>
    <w:rsid w:val="00F44AB6"/>
    <w:rsid w:val="00F46B1F"/>
    <w:rsid w:val="00F536CC"/>
    <w:rsid w:val="00F74872"/>
    <w:rsid w:val="00F769E3"/>
    <w:rsid w:val="00F8275B"/>
    <w:rsid w:val="00FD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D1A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12A8"/>
    <w:pPr>
      <w:keepNext/>
      <w:jc w:val="both"/>
      <w:outlineLvl w:val="4"/>
    </w:pPr>
    <w:rPr>
      <w:rFonts w:ascii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81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6326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uiPriority w:val="99"/>
    <w:rsid w:val="001912A8"/>
    <w:pPr>
      <w:spacing w:line="360" w:lineRule="auto"/>
      <w:jc w:val="both"/>
    </w:pPr>
    <w:rPr>
      <w:rFonts w:ascii="Arial" w:hAnsi="Arial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0E7D"/>
    <w:pPr>
      <w:tabs>
        <w:tab w:val="center" w:pos="4513"/>
        <w:tab w:val="right" w:pos="9026"/>
      </w:tabs>
    </w:p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63268"/>
    <w:rPr>
      <w:rFonts w:cs="Times New Roman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F0E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0E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E7D"/>
    <w:rPr>
      <w:sz w:val="24"/>
      <w:szCs w:val="24"/>
    </w:rPr>
  </w:style>
  <w:style w:type="character" w:customStyle="1" w:styleId="CharChar1">
    <w:name w:val="Char Char1"/>
    <w:basedOn w:val="DefaultParagraphFont"/>
    <w:semiHidden/>
    <w:locked/>
    <w:rsid w:val="00513E32"/>
    <w:rPr>
      <w:rFonts w:ascii="Arial" w:hAnsi="Arial" w:cs="Arial"/>
      <w:b/>
      <w:bCs/>
      <w:sz w:val="24"/>
      <w:szCs w:val="24"/>
      <w:lang w:val="en-GB" w:eastAsia="en-US" w:bidi="ar-SA"/>
    </w:rPr>
  </w:style>
  <w:style w:type="character" w:customStyle="1" w:styleId="CharChar">
    <w:name w:val="Char Char"/>
    <w:basedOn w:val="DefaultParagraphFont"/>
    <w:semiHidden/>
    <w:locked/>
    <w:rsid w:val="00513E32"/>
    <w:rPr>
      <w:rFonts w:ascii="Arial" w:hAnsi="Arial" w:cs="Arial"/>
      <w:sz w:val="24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356024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E1664B"/>
    <w:pPr>
      <w:spacing w:after="200" w:line="276" w:lineRule="auto"/>
      <w:ind w:left="720"/>
      <w:contextualSpacing/>
    </w:pPr>
    <w:rPr>
      <w:rFonts w:ascii="Calibri" w:eastAsia="MS Mincho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C4C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7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5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5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D1A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12A8"/>
    <w:pPr>
      <w:keepNext/>
      <w:jc w:val="both"/>
      <w:outlineLvl w:val="4"/>
    </w:pPr>
    <w:rPr>
      <w:rFonts w:ascii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81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6326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uiPriority w:val="99"/>
    <w:rsid w:val="001912A8"/>
    <w:pPr>
      <w:spacing w:line="360" w:lineRule="auto"/>
      <w:jc w:val="both"/>
    </w:pPr>
    <w:rPr>
      <w:rFonts w:ascii="Arial" w:hAnsi="Arial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0E7D"/>
    <w:pPr>
      <w:tabs>
        <w:tab w:val="center" w:pos="4513"/>
        <w:tab w:val="right" w:pos="9026"/>
      </w:tabs>
    </w:p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63268"/>
    <w:rPr>
      <w:rFonts w:cs="Times New Roman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F0E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0E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E7D"/>
    <w:rPr>
      <w:sz w:val="24"/>
      <w:szCs w:val="24"/>
    </w:rPr>
  </w:style>
  <w:style w:type="character" w:customStyle="1" w:styleId="CharChar1">
    <w:name w:val="Char Char1"/>
    <w:basedOn w:val="DefaultParagraphFont"/>
    <w:semiHidden/>
    <w:locked/>
    <w:rsid w:val="00513E32"/>
    <w:rPr>
      <w:rFonts w:ascii="Arial" w:hAnsi="Arial" w:cs="Arial"/>
      <w:b/>
      <w:bCs/>
      <w:sz w:val="24"/>
      <w:szCs w:val="24"/>
      <w:lang w:val="en-GB" w:eastAsia="en-US" w:bidi="ar-SA"/>
    </w:rPr>
  </w:style>
  <w:style w:type="character" w:customStyle="1" w:styleId="CharChar">
    <w:name w:val="Char Char"/>
    <w:basedOn w:val="DefaultParagraphFont"/>
    <w:semiHidden/>
    <w:locked/>
    <w:rsid w:val="00513E32"/>
    <w:rPr>
      <w:rFonts w:ascii="Arial" w:hAnsi="Arial" w:cs="Arial"/>
      <w:sz w:val="24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356024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E1664B"/>
    <w:pPr>
      <w:spacing w:after="200" w:line="276" w:lineRule="auto"/>
      <w:ind w:left="720"/>
      <w:contextualSpacing/>
    </w:pPr>
    <w:rPr>
      <w:rFonts w:ascii="Calibri" w:eastAsia="MS Mincho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C4C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7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5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mis2000\Desktop\Template%20so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FBF01-C1F8-44D2-92BE-84A43F9B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sop</Template>
  <TotalTime>2</TotalTime>
  <Pages>7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</vt:lpstr>
    </vt:vector>
  </TitlesOfParts>
  <Company>NHS</Company>
  <LinksUpToDate>false</LinksUpToDate>
  <CharactersWithSpaces>13061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</dc:title>
  <dc:creator>emis2000</dc:creator>
  <cp:lastModifiedBy>GEMIT</cp:lastModifiedBy>
  <cp:revision>3</cp:revision>
  <cp:lastPrinted>2010-12-01T10:21:00Z</cp:lastPrinted>
  <dcterms:created xsi:type="dcterms:W3CDTF">2014-06-17T11:50:00Z</dcterms:created>
  <dcterms:modified xsi:type="dcterms:W3CDTF">2015-04-24T09:38:00Z</dcterms:modified>
</cp:coreProperties>
</file>